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58D1C" w14:textId="77777777" w:rsidR="00724FEA" w:rsidRDefault="00724FEA" w:rsidP="00724FEA">
      <w:pPr>
        <w:widowControl w:val="0"/>
        <w:pBdr>
          <w:top w:val="nil"/>
          <w:left w:val="nil"/>
          <w:bottom w:val="nil"/>
          <w:right w:val="nil"/>
          <w:between w:val="nil"/>
        </w:pBdr>
        <w:spacing w:after="0"/>
      </w:pPr>
      <w:bookmarkStart w:id="0" w:name="_Hlk118115230"/>
    </w:p>
    <w:p w14:paraId="4F834B61" w14:textId="58184FEF" w:rsidR="00724FEA" w:rsidRDefault="008D46CB" w:rsidP="00724FEA">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37BF70D9" wp14:editId="4658F352">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4FEA">
        <w:rPr>
          <w:noProof/>
        </w:rPr>
        <w:drawing>
          <wp:anchor distT="0" distB="0" distL="114300" distR="114300" simplePos="0" relativeHeight="251659264" behindDoc="0" locked="0" layoutInCell="1" allowOverlap="1" wp14:anchorId="0AAAFBA0" wp14:editId="4B3BBC62">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7AEFAAC4" w14:textId="77777777" w:rsidR="00724FEA" w:rsidRDefault="00724FEA" w:rsidP="00724FEA">
      <w:pPr>
        <w:spacing w:before="240"/>
        <w:jc w:val="center"/>
        <w:rPr>
          <w:b/>
          <w:caps/>
          <w:sz w:val="24"/>
          <w:szCs w:val="24"/>
        </w:rPr>
      </w:pPr>
    </w:p>
    <w:bookmarkEnd w:id="1"/>
    <w:p w14:paraId="57771BEF" w14:textId="77777777" w:rsidR="00724FEA" w:rsidRDefault="00724FEA" w:rsidP="00724FEA">
      <w:pPr>
        <w:spacing w:before="240"/>
        <w:jc w:val="center"/>
        <w:rPr>
          <w:b/>
          <w:caps/>
          <w:sz w:val="24"/>
          <w:szCs w:val="24"/>
        </w:rPr>
      </w:pPr>
    </w:p>
    <w:p w14:paraId="0F778E0C" w14:textId="77777777" w:rsidR="00724FEA" w:rsidRPr="002D0ED3" w:rsidRDefault="00724FEA" w:rsidP="00724FEA">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8911D40" w14:textId="77777777" w:rsidR="00724FEA" w:rsidRPr="002D0ED3" w:rsidRDefault="00724FEA" w:rsidP="00724FE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721C179C" w14:textId="77777777" w:rsidR="00724FEA" w:rsidRPr="002D0ED3" w:rsidRDefault="00724FEA" w:rsidP="00724FE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3AC2A326" w14:textId="77777777" w:rsidR="00724FEA" w:rsidRPr="00A33E00" w:rsidRDefault="00724FEA" w:rsidP="00724FEA">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57F9BCCC" w14:textId="77777777" w:rsidR="00724FEA" w:rsidRPr="002D0ED3" w:rsidRDefault="00724FEA" w:rsidP="00724FE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22CCCFB4" w14:textId="5B939122" w:rsidR="00724FEA" w:rsidRPr="002D0ED3" w:rsidRDefault="00724FEA" w:rsidP="00724FE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3B6F72">
        <w:rPr>
          <w:rFonts w:asciiTheme="minorHAnsi" w:hAnsiTheme="minorHAnsi" w:cstheme="minorHAnsi"/>
          <w:b/>
          <w:caps/>
          <w:sz w:val="24"/>
          <w:szCs w:val="24"/>
        </w:rPr>
        <w:t>1</w:t>
      </w:r>
    </w:p>
    <w:bookmarkEnd w:id="0"/>
    <w:bookmarkEnd w:id="2"/>
    <w:p w14:paraId="405D170A" w14:textId="3DF4DC1C" w:rsidR="00724FEA" w:rsidRDefault="00724FEA">
      <w:pPr>
        <w:rPr>
          <w:caps/>
        </w:rPr>
      </w:pPr>
      <w:r>
        <w:rPr>
          <w:caps/>
        </w:rPr>
        <w:br w:type="page"/>
      </w:r>
    </w:p>
    <w:p w14:paraId="75ACF250" w14:textId="77777777" w:rsidR="006231A0" w:rsidRPr="008956FC" w:rsidRDefault="006231A0" w:rsidP="008956FC">
      <w:pPr>
        <w:widowControl w:val="0"/>
        <w:pBdr>
          <w:top w:val="nil"/>
          <w:left w:val="nil"/>
          <w:bottom w:val="nil"/>
          <w:right w:val="nil"/>
          <w:between w:val="nil"/>
        </w:pBdr>
        <w:spacing w:after="0"/>
        <w:rPr>
          <w:caps/>
        </w:rPr>
      </w:pPr>
    </w:p>
    <w:p w14:paraId="4E49B78B" w14:textId="77777777" w:rsidR="006231A0" w:rsidRDefault="006231A0">
      <w:pPr>
        <w:widowControl w:val="0"/>
        <w:pBdr>
          <w:top w:val="nil"/>
          <w:left w:val="nil"/>
          <w:bottom w:val="nil"/>
          <w:right w:val="nil"/>
          <w:between w:val="nil"/>
        </w:pBdr>
        <w:spacing w:after="0"/>
      </w:pPr>
      <w:bookmarkStart w:id="3" w:name="_heading=h.2s8eyo1" w:colFirst="0" w:colLast="0"/>
      <w:bookmarkEnd w:id="3"/>
    </w:p>
    <w:p w14:paraId="7D133253" w14:textId="14512A54" w:rsidR="006231A0" w:rsidRPr="008956FC" w:rsidRDefault="005D6FC8" w:rsidP="008956FC">
      <w:pPr>
        <w:keepNext/>
        <w:pBdr>
          <w:top w:val="nil"/>
          <w:left w:val="nil"/>
          <w:bottom w:val="nil"/>
          <w:right w:val="nil"/>
          <w:between w:val="nil"/>
        </w:pBdr>
        <w:spacing w:after="240" w:line="240" w:lineRule="auto"/>
        <w:rPr>
          <w:rFonts w:ascii="Arial" w:hAnsi="Arial"/>
          <w:caps/>
          <w:color w:val="000000"/>
          <w:sz w:val="36"/>
        </w:rPr>
      </w:pPr>
      <w:r w:rsidRPr="008956FC">
        <w:rPr>
          <w:rFonts w:ascii="Arial" w:hAnsi="Arial"/>
          <w:b/>
          <w:color w:val="000000"/>
          <w:sz w:val="36"/>
        </w:rPr>
        <w:t>Call-Off Schedule 14 (</w:t>
      </w:r>
      <w:r>
        <w:rPr>
          <w:rFonts w:ascii="Arial" w:eastAsia="Arial" w:hAnsi="Arial" w:cs="Arial"/>
          <w:b/>
          <w:color w:val="000000"/>
          <w:sz w:val="36"/>
          <w:szCs w:val="36"/>
        </w:rPr>
        <w:t>Key Performance Indicators</w:t>
      </w:r>
      <w:r w:rsidRPr="008956FC">
        <w:rPr>
          <w:rFonts w:ascii="Arial" w:hAnsi="Arial"/>
          <w:b/>
          <w:color w:val="000000"/>
          <w:sz w:val="36"/>
        </w:rPr>
        <w:t>)</w:t>
      </w:r>
    </w:p>
    <w:p w14:paraId="647E8A65" w14:textId="77777777" w:rsidR="006231A0" w:rsidRPr="008956FC" w:rsidRDefault="005D6FC8" w:rsidP="008956FC">
      <w:pPr>
        <w:numPr>
          <w:ilvl w:val="0"/>
          <w:numId w:val="3"/>
        </w:numPr>
        <w:pBdr>
          <w:top w:val="nil"/>
          <w:left w:val="nil"/>
          <w:bottom w:val="nil"/>
          <w:right w:val="nil"/>
          <w:between w:val="nil"/>
        </w:pBdr>
        <w:tabs>
          <w:tab w:val="left" w:pos="142"/>
        </w:tabs>
        <w:spacing w:before="240" w:after="120" w:line="240" w:lineRule="auto"/>
        <w:rPr>
          <w:rFonts w:ascii="Arial" w:hAnsi="Arial"/>
          <w:caps/>
          <w:color w:val="000000"/>
          <w:sz w:val="24"/>
        </w:rPr>
      </w:pPr>
      <w:r w:rsidRPr="008956FC">
        <w:rPr>
          <w:rFonts w:ascii="Arial" w:hAnsi="Arial" w:hint="eastAsia"/>
          <w:b/>
          <w:color w:val="000000"/>
          <w:sz w:val="24"/>
        </w:rPr>
        <w:t>Definitions</w:t>
      </w:r>
    </w:p>
    <w:p w14:paraId="6590226D" w14:textId="77777777"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In this Schedule, the following words shall have the following meanings and they shall supplement Joint Schedule 1 (Definitions):</w:t>
      </w:r>
    </w:p>
    <w:tbl>
      <w:tblPr>
        <w:tblStyle w:val="affc"/>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6231A0" w14:paraId="1F705ECD" w14:textId="77777777">
        <w:tc>
          <w:tcPr>
            <w:tcW w:w="2410" w:type="dxa"/>
            <w:shd w:val="clear" w:color="auto" w:fill="auto"/>
          </w:tcPr>
          <w:p w14:paraId="6585925A"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bookmarkStart w:id="4" w:name="_heading=h.2et92p0" w:colFirst="0" w:colLast="0"/>
            <w:bookmarkEnd w:id="4"/>
            <w:r>
              <w:rPr>
                <w:rFonts w:ascii="Arial" w:eastAsia="Arial" w:hAnsi="Arial" w:cs="Arial"/>
                <w:b/>
                <w:color w:val="000000"/>
                <w:sz w:val="24"/>
                <w:szCs w:val="24"/>
              </w:rPr>
              <w:t>"At Risk %"</w:t>
            </w:r>
          </w:p>
        </w:tc>
        <w:tc>
          <w:tcPr>
            <w:tcW w:w="5953" w:type="dxa"/>
            <w:shd w:val="clear" w:color="auto" w:fill="auto"/>
          </w:tcPr>
          <w:p w14:paraId="504C6FF8" w14:textId="77777777" w:rsidR="006231A0" w:rsidRDefault="005D6FC8">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means the percentage figure identified as such in the Order Form;</w:t>
            </w:r>
          </w:p>
        </w:tc>
      </w:tr>
      <w:tr w:rsidR="006231A0" w14:paraId="6C938B8E" w14:textId="77777777">
        <w:tc>
          <w:tcPr>
            <w:tcW w:w="2410" w:type="dxa"/>
            <w:shd w:val="clear" w:color="auto" w:fill="auto"/>
          </w:tcPr>
          <w:p w14:paraId="34F1B2EB"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"At Risk Amount"</w:t>
            </w:r>
          </w:p>
        </w:tc>
        <w:tc>
          <w:tcPr>
            <w:tcW w:w="5953" w:type="dxa"/>
            <w:shd w:val="clear" w:color="auto" w:fill="auto"/>
          </w:tcPr>
          <w:p w14:paraId="3769B00C" w14:textId="77777777" w:rsidR="006231A0" w:rsidRDefault="005D6FC8">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6231A0" w14:paraId="1E1B85E1" w14:textId="77777777" w:rsidTr="008956FC">
        <w:tc>
          <w:tcPr>
            <w:tcW w:w="2410" w:type="dxa"/>
            <w:shd w:val="clear" w:color="auto" w:fill="auto"/>
          </w:tcPr>
          <w:p w14:paraId="735DC690" w14:textId="77777777" w:rsidR="006231A0" w:rsidRPr="008956FC" w:rsidRDefault="005D6FC8" w:rsidP="008956FC">
            <w:pPr>
              <w:pBdr>
                <w:top w:val="nil"/>
                <w:left w:val="nil"/>
                <w:bottom w:val="nil"/>
                <w:right w:val="nil"/>
                <w:between w:val="nil"/>
              </w:pBdr>
              <w:spacing w:after="120"/>
              <w:ind w:left="-108"/>
              <w:rPr>
                <w:color w:val="000000"/>
                <w:sz w:val="24"/>
              </w:rPr>
            </w:pPr>
            <w:r>
              <w:rPr>
                <w:rFonts w:ascii="Arial" w:eastAsia="Arial" w:hAnsi="Arial" w:cs="Arial"/>
                <w:b/>
                <w:sz w:val="24"/>
                <w:szCs w:val="24"/>
              </w:rPr>
              <w:t>"Earn Back %"</w:t>
            </w:r>
          </w:p>
        </w:tc>
        <w:tc>
          <w:tcPr>
            <w:tcW w:w="5953" w:type="dxa"/>
            <w:shd w:val="clear" w:color="auto" w:fill="auto"/>
          </w:tcPr>
          <w:p w14:paraId="6F976571" w14:textId="45C3B9D5"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6231A0" w14:paraId="79207914" w14:textId="77777777">
        <w:tc>
          <w:tcPr>
            <w:tcW w:w="2410" w:type="dxa"/>
            <w:shd w:val="clear" w:color="auto" w:fill="auto"/>
          </w:tcPr>
          <w:p w14:paraId="20EBDCE3" w14:textId="77777777" w:rsidR="006231A0" w:rsidRDefault="005D6FC8">
            <w:pPr>
              <w:spacing w:after="280"/>
              <w:rPr>
                <w:rFonts w:ascii="Arial" w:eastAsia="Arial" w:hAnsi="Arial" w:cs="Arial"/>
                <w:b/>
                <w:color w:val="000000"/>
                <w:sz w:val="24"/>
                <w:szCs w:val="24"/>
              </w:rPr>
            </w:pPr>
            <w:r>
              <w:rPr>
                <w:rFonts w:ascii="Arial" w:eastAsia="Arial" w:hAnsi="Arial" w:cs="Arial"/>
                <w:b/>
                <w:color w:val="000000"/>
                <w:sz w:val="24"/>
                <w:szCs w:val="24"/>
              </w:rPr>
              <w:t>“KPI Category”</w:t>
            </w:r>
          </w:p>
          <w:p w14:paraId="1385A345" w14:textId="77777777" w:rsidR="006231A0" w:rsidRDefault="006231A0">
            <w:pPr>
              <w:pBdr>
                <w:top w:val="nil"/>
                <w:left w:val="nil"/>
                <w:bottom w:val="nil"/>
                <w:right w:val="nil"/>
                <w:between w:val="nil"/>
              </w:pBdr>
              <w:spacing w:after="120"/>
              <w:ind w:left="-108"/>
              <w:rPr>
                <w:rFonts w:ascii="Arial" w:eastAsia="Arial" w:hAnsi="Arial" w:cs="Arial"/>
                <w:b/>
                <w:sz w:val="24"/>
                <w:szCs w:val="24"/>
              </w:rPr>
            </w:pPr>
          </w:p>
        </w:tc>
        <w:tc>
          <w:tcPr>
            <w:tcW w:w="5953" w:type="dxa"/>
            <w:shd w:val="clear" w:color="auto" w:fill="auto"/>
          </w:tcPr>
          <w:p w14:paraId="08D54764"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 xml:space="preserve">means each of the categories in the columns headed "KPI Category"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w:t>
            </w:r>
            <w:r>
              <w:rPr>
                <w:rFonts w:ascii="Arial" w:eastAsia="Arial" w:hAnsi="Arial" w:cs="Arial"/>
                <w:color w:val="000000"/>
                <w:sz w:val="24"/>
                <w:szCs w:val="24"/>
              </w:rPr>
              <w:t>;</w:t>
            </w:r>
          </w:p>
        </w:tc>
      </w:tr>
      <w:tr w:rsidR="006231A0" w14:paraId="27B23CE8" w14:textId="77777777">
        <w:tc>
          <w:tcPr>
            <w:tcW w:w="2410" w:type="dxa"/>
            <w:shd w:val="clear" w:color="auto" w:fill="auto"/>
          </w:tcPr>
          <w:p w14:paraId="6DD1E57B" w14:textId="77777777" w:rsidR="006231A0" w:rsidRDefault="005D6FC8">
            <w:pPr>
              <w:pBdr>
                <w:top w:val="nil"/>
                <w:left w:val="nil"/>
                <w:bottom w:val="nil"/>
                <w:right w:val="nil"/>
                <w:between w:val="nil"/>
              </w:pBdr>
              <w:spacing w:after="120"/>
              <w:rPr>
                <w:rFonts w:ascii="Arial" w:eastAsia="Arial" w:hAnsi="Arial" w:cs="Arial"/>
                <w:b/>
              </w:rPr>
            </w:pPr>
            <w:r>
              <w:rPr>
                <w:rFonts w:ascii="Arial" w:eastAsia="Arial" w:hAnsi="Arial" w:cs="Arial"/>
                <w:b/>
                <w:sz w:val="24"/>
                <w:szCs w:val="24"/>
              </w:rPr>
              <w:t xml:space="preserve">“KPI Category </w:t>
            </w:r>
            <w:proofErr w:type="gramStart"/>
            <w:r>
              <w:rPr>
                <w:rFonts w:ascii="Arial" w:eastAsia="Arial" w:hAnsi="Arial" w:cs="Arial"/>
                <w:b/>
                <w:sz w:val="24"/>
                <w:szCs w:val="24"/>
              </w:rPr>
              <w:t>At</w:t>
            </w:r>
            <w:proofErr w:type="gramEnd"/>
            <w:r>
              <w:rPr>
                <w:rFonts w:ascii="Arial" w:eastAsia="Arial" w:hAnsi="Arial" w:cs="Arial"/>
                <w:b/>
                <w:sz w:val="24"/>
                <w:szCs w:val="24"/>
              </w:rPr>
              <w:t xml:space="preserve"> Risk Amount”</w:t>
            </w:r>
          </w:p>
        </w:tc>
        <w:tc>
          <w:tcPr>
            <w:tcW w:w="5953" w:type="dxa"/>
            <w:shd w:val="clear" w:color="auto" w:fill="auto"/>
          </w:tcPr>
          <w:p w14:paraId="285D8B35"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means in relation to a KPI Category in respect of a Service Period, the amount calculated in accordance with Paragraph 3.2 of Part A of this Schedule;</w:t>
            </w:r>
          </w:p>
        </w:tc>
      </w:tr>
      <w:tr w:rsidR="006231A0" w14:paraId="53DC4A75" w14:textId="77777777" w:rsidTr="008956FC">
        <w:tc>
          <w:tcPr>
            <w:tcW w:w="2410" w:type="dxa"/>
            <w:shd w:val="clear" w:color="auto" w:fill="auto"/>
          </w:tcPr>
          <w:p w14:paraId="7BD76326" w14:textId="00BCF7C0" w:rsidR="006231A0" w:rsidRPr="008956FC" w:rsidRDefault="005D6FC8" w:rsidP="008956FC">
            <w:pPr>
              <w:pBdr>
                <w:top w:val="nil"/>
                <w:left w:val="nil"/>
                <w:bottom w:val="nil"/>
                <w:right w:val="nil"/>
                <w:between w:val="nil"/>
              </w:pBdr>
              <w:spacing w:after="120"/>
              <w:ind w:left="-108"/>
              <w:rPr>
                <w:color w:val="000000"/>
                <w:sz w:val="24"/>
              </w:rPr>
            </w:pPr>
            <w:r w:rsidRPr="008956FC">
              <w:rPr>
                <w:rFonts w:ascii="Arial" w:hAnsi="Arial"/>
                <w:b/>
                <w:color w:val="000000"/>
                <w:sz w:val="24"/>
              </w:rPr>
              <w:t>"</w:t>
            </w:r>
            <w:r>
              <w:rPr>
                <w:rFonts w:ascii="Arial" w:eastAsia="Arial" w:hAnsi="Arial" w:cs="Arial"/>
                <w:b/>
                <w:color w:val="000000"/>
                <w:sz w:val="24"/>
                <w:szCs w:val="24"/>
              </w:rPr>
              <w:t xml:space="preserve">KPI </w:t>
            </w:r>
            <w:proofErr w:type="spellStart"/>
            <w:r>
              <w:rPr>
                <w:rFonts w:ascii="Arial" w:eastAsia="Arial" w:hAnsi="Arial" w:cs="Arial"/>
                <w:b/>
                <w:color w:val="000000"/>
                <w:sz w:val="24"/>
                <w:szCs w:val="24"/>
              </w:rPr>
              <w:t>Paymech</w:t>
            </w:r>
            <w:proofErr w:type="spellEnd"/>
            <w:r>
              <w:rPr>
                <w:rFonts w:ascii="Arial" w:eastAsia="Arial" w:hAnsi="Arial" w:cs="Arial"/>
                <w:b/>
                <w:color w:val="000000"/>
                <w:sz w:val="24"/>
                <w:szCs w:val="24"/>
              </w:rPr>
              <w:t xml:space="preserve"> Model</w:t>
            </w:r>
            <w:r w:rsidRPr="008956FC">
              <w:rPr>
                <w:rFonts w:ascii="Arial" w:hAnsi="Arial"/>
                <w:b/>
                <w:color w:val="000000"/>
                <w:sz w:val="24"/>
              </w:rPr>
              <w:t>"</w:t>
            </w:r>
          </w:p>
        </w:tc>
        <w:tc>
          <w:tcPr>
            <w:tcW w:w="5953" w:type="dxa"/>
            <w:shd w:val="clear" w:color="auto" w:fill="auto"/>
          </w:tcPr>
          <w:p w14:paraId="1103A4F7" w14:textId="0DCF6852"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sz w:val="24"/>
                <w:szCs w:val="24"/>
              </w:rPr>
              <w:t xml:space="preserve">means the model comprised in the Excel worksheet -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and attached</w:t>
            </w:r>
            <w:r w:rsidRPr="008956FC">
              <w:rPr>
                <w:rFonts w:ascii="Arial" w:hAnsi="Arial"/>
                <w:color w:val="000000"/>
                <w:sz w:val="24"/>
              </w:rPr>
              <w:t xml:space="preserve"> in the Annex </w:t>
            </w:r>
            <w:r w:rsidR="00E943A7">
              <w:rPr>
                <w:rFonts w:ascii="Arial" w:eastAsia="Arial" w:hAnsi="Arial" w:cs="Arial"/>
                <w:sz w:val="24"/>
                <w:szCs w:val="24"/>
              </w:rPr>
              <w:t>A</w:t>
            </w:r>
            <w:r>
              <w:rPr>
                <w:rFonts w:ascii="Arial" w:eastAsia="Arial" w:hAnsi="Arial" w:cs="Arial"/>
                <w:sz w:val="24"/>
                <w:szCs w:val="24"/>
              </w:rPr>
              <w:t xml:space="preserve"> </w:t>
            </w:r>
            <w:r w:rsidRPr="008956FC">
              <w:rPr>
                <w:rFonts w:ascii="Arial" w:hAnsi="Arial"/>
                <w:color w:val="000000"/>
                <w:sz w:val="24"/>
              </w:rPr>
              <w:t>to Part</w:t>
            </w:r>
            <w:r>
              <w:rPr>
                <w:rFonts w:ascii="Arial" w:eastAsia="Arial" w:hAnsi="Arial" w:cs="Arial"/>
                <w:sz w:val="24"/>
                <w:szCs w:val="24"/>
              </w:rPr>
              <w:t> </w:t>
            </w:r>
            <w:r w:rsidRPr="008956FC">
              <w:rPr>
                <w:rFonts w:ascii="Arial" w:hAnsi="Arial"/>
                <w:color w:val="000000"/>
                <w:sz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w:t>
            </w:r>
            <w:r w:rsidRPr="008956FC">
              <w:rPr>
                <w:rFonts w:ascii="Arial" w:hAnsi="Arial"/>
                <w:sz w:val="24"/>
              </w:rPr>
              <w:t xml:space="preserve"> of </w:t>
            </w:r>
            <w:r>
              <w:rPr>
                <w:rFonts w:ascii="Arial" w:eastAsia="Arial" w:hAnsi="Arial" w:cs="Arial"/>
                <w:sz w:val="24"/>
                <w:szCs w:val="24"/>
              </w:rPr>
              <w:t>the operation of the KPI regime in this Schedule</w:t>
            </w:r>
            <w:r w:rsidRPr="008956FC">
              <w:rPr>
                <w:rFonts w:ascii="Arial" w:hAnsi="Arial"/>
                <w:color w:val="000000"/>
                <w:sz w:val="24"/>
              </w:rPr>
              <w:t>;</w:t>
            </w:r>
          </w:p>
        </w:tc>
      </w:tr>
      <w:tr w:rsidR="006231A0" w14:paraId="6BEFF99B" w14:textId="77777777" w:rsidTr="008956FC">
        <w:tc>
          <w:tcPr>
            <w:tcW w:w="2410" w:type="dxa"/>
            <w:shd w:val="clear" w:color="auto" w:fill="auto"/>
          </w:tcPr>
          <w:p w14:paraId="45214338" w14:textId="7531BB9A" w:rsidR="006231A0" w:rsidRPr="008956FC" w:rsidRDefault="005D6FC8" w:rsidP="008956FC">
            <w:pPr>
              <w:pBdr>
                <w:top w:val="nil"/>
                <w:left w:val="nil"/>
                <w:bottom w:val="nil"/>
                <w:right w:val="nil"/>
                <w:between w:val="nil"/>
              </w:pBdr>
              <w:spacing w:after="120"/>
              <w:ind w:left="-108"/>
              <w:rPr>
                <w:color w:val="000000"/>
                <w:sz w:val="24"/>
              </w:rPr>
            </w:pPr>
            <w:r>
              <w:rPr>
                <w:rFonts w:ascii="Arial" w:eastAsia="Arial" w:hAnsi="Arial" w:cs="Arial"/>
                <w:b/>
                <w:sz w:val="24"/>
                <w:szCs w:val="24"/>
              </w:rPr>
              <w:t>"KPI At Risk Amount"</w:t>
            </w:r>
          </w:p>
        </w:tc>
        <w:tc>
          <w:tcPr>
            <w:tcW w:w="5953" w:type="dxa"/>
            <w:shd w:val="clear" w:color="auto" w:fill="auto"/>
          </w:tcPr>
          <w:p w14:paraId="281C9795" w14:textId="0FF6FA76"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color w:val="000000"/>
                <w:sz w:val="24"/>
                <w:szCs w:val="24"/>
              </w:rPr>
              <w:t xml:space="preserve">means </w:t>
            </w:r>
            <w:r>
              <w:rPr>
                <w:rFonts w:ascii="Arial" w:eastAsia="Arial" w:hAnsi="Arial" w:cs="Arial"/>
                <w:sz w:val="24"/>
                <w:szCs w:val="24"/>
              </w:rPr>
              <w:t>in relation</w:t>
            </w:r>
            <w:r>
              <w:rPr>
                <w:rFonts w:ascii="Arial" w:eastAsia="Arial" w:hAnsi="Arial" w:cs="Arial"/>
                <w:color w:val="000000"/>
                <w:sz w:val="24"/>
                <w:szCs w:val="24"/>
              </w:rPr>
              <w:t xml:space="preserve"> to </w:t>
            </w:r>
            <w:r>
              <w:rPr>
                <w:rFonts w:ascii="Arial" w:eastAsia="Arial" w:hAnsi="Arial" w:cs="Arial"/>
                <w:sz w:val="24"/>
                <w:szCs w:val="24"/>
              </w:rPr>
              <w:t>a KPI</w:t>
            </w:r>
            <w:r>
              <w:rPr>
                <w:rFonts w:ascii="Arial" w:eastAsia="Arial" w:hAnsi="Arial" w:cs="Arial"/>
                <w:color w:val="000000"/>
                <w:sz w:val="24"/>
                <w:szCs w:val="24"/>
              </w:rPr>
              <w:t xml:space="preserve"> in respect of a Service </w:t>
            </w:r>
            <w:r>
              <w:rPr>
                <w:rFonts w:ascii="Arial" w:eastAsia="Arial" w:hAnsi="Arial" w:cs="Arial"/>
                <w:sz w:val="24"/>
                <w:szCs w:val="24"/>
              </w:rPr>
              <w:t xml:space="preserve">Period, the amount calculated in accordance with Paragraph 3.3 of Part A of this Schedule; </w:t>
            </w:r>
          </w:p>
        </w:tc>
      </w:tr>
      <w:tr w:rsidR="006231A0" w14:paraId="592DCED2" w14:textId="77777777" w:rsidTr="008956FC">
        <w:tc>
          <w:tcPr>
            <w:tcW w:w="2410" w:type="dxa"/>
            <w:shd w:val="clear" w:color="auto" w:fill="auto"/>
          </w:tcPr>
          <w:p w14:paraId="70479E46" w14:textId="10F3298E" w:rsidR="006231A0" w:rsidRPr="008956FC" w:rsidRDefault="005D6FC8" w:rsidP="008956FC">
            <w:pPr>
              <w:pBdr>
                <w:top w:val="nil"/>
                <w:left w:val="nil"/>
                <w:bottom w:val="nil"/>
                <w:right w:val="nil"/>
                <w:between w:val="nil"/>
              </w:pBdr>
              <w:spacing w:after="120"/>
              <w:ind w:left="-108"/>
              <w:rPr>
                <w:sz w:val="24"/>
              </w:rPr>
            </w:pPr>
            <w:r w:rsidRPr="008956FC">
              <w:rPr>
                <w:rFonts w:ascii="Arial" w:hAnsi="Arial"/>
                <w:b/>
                <w:color w:val="000000"/>
                <w:sz w:val="24"/>
              </w:rPr>
              <w:t>"</w:t>
            </w:r>
            <w:r>
              <w:rPr>
                <w:rFonts w:ascii="Arial" w:eastAsia="Arial" w:hAnsi="Arial" w:cs="Arial"/>
                <w:b/>
                <w:color w:val="000000"/>
                <w:sz w:val="24"/>
                <w:szCs w:val="24"/>
              </w:rPr>
              <w:t>KPI</w:t>
            </w:r>
            <w:r w:rsidRPr="008956FC">
              <w:rPr>
                <w:rFonts w:ascii="Arial" w:hAnsi="Arial"/>
                <w:b/>
                <w:color w:val="000000"/>
                <w:sz w:val="24"/>
              </w:rPr>
              <w:t xml:space="preserve"> Failure"</w:t>
            </w:r>
          </w:p>
        </w:tc>
        <w:tc>
          <w:tcPr>
            <w:tcW w:w="5953" w:type="dxa"/>
            <w:shd w:val="clear" w:color="auto" w:fill="auto"/>
          </w:tcPr>
          <w:p w14:paraId="068FE416" w14:textId="707A0DB6"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sidRPr="008956FC">
              <w:rPr>
                <w:rFonts w:ascii="Arial" w:hAnsi="Arial"/>
                <w:color w:val="000000"/>
                <w:sz w:val="24"/>
              </w:rPr>
              <w:t xml:space="preserve">means a failure to meet the </w:t>
            </w:r>
            <w:r>
              <w:rPr>
                <w:rFonts w:ascii="Arial" w:eastAsia="Arial" w:hAnsi="Arial" w:cs="Arial"/>
                <w:color w:val="000000"/>
                <w:sz w:val="24"/>
                <w:szCs w:val="24"/>
              </w:rPr>
              <w:t>KPI</w:t>
            </w:r>
            <w:r w:rsidRPr="008956FC">
              <w:rPr>
                <w:rFonts w:ascii="Arial" w:hAnsi="Arial"/>
                <w:color w:val="000000"/>
                <w:sz w:val="24"/>
              </w:rPr>
              <w:t xml:space="preserve"> Performance Measure in respect of a </w:t>
            </w:r>
            <w:r>
              <w:rPr>
                <w:rFonts w:ascii="Arial" w:eastAsia="Arial" w:hAnsi="Arial" w:cs="Arial"/>
                <w:color w:val="000000"/>
                <w:sz w:val="24"/>
                <w:szCs w:val="24"/>
              </w:rPr>
              <w:t>KPI</w:t>
            </w:r>
            <w:r w:rsidRPr="008956FC">
              <w:rPr>
                <w:rFonts w:ascii="Arial" w:hAnsi="Arial"/>
                <w:color w:val="000000"/>
                <w:sz w:val="24"/>
              </w:rPr>
              <w:t>;</w:t>
            </w:r>
          </w:p>
        </w:tc>
      </w:tr>
      <w:tr w:rsidR="006231A0" w14:paraId="00B4B060" w14:textId="77777777" w:rsidTr="008956FC">
        <w:tc>
          <w:tcPr>
            <w:tcW w:w="2410" w:type="dxa"/>
            <w:shd w:val="clear" w:color="auto" w:fill="auto"/>
          </w:tcPr>
          <w:p w14:paraId="4D643C49" w14:textId="156CE420" w:rsidR="006231A0" w:rsidRPr="008956FC" w:rsidRDefault="005D6FC8" w:rsidP="008956FC">
            <w:pPr>
              <w:pBdr>
                <w:top w:val="nil"/>
                <w:left w:val="nil"/>
                <w:bottom w:val="nil"/>
                <w:right w:val="nil"/>
                <w:between w:val="nil"/>
              </w:pBdr>
              <w:spacing w:after="120"/>
              <w:ind w:left="-108"/>
              <w:rPr>
                <w:color w:val="000000"/>
                <w:sz w:val="24"/>
              </w:rPr>
            </w:pPr>
            <w:r w:rsidRPr="008956FC">
              <w:rPr>
                <w:rFonts w:ascii="Arial" w:hAnsi="Arial"/>
                <w:b/>
                <w:color w:val="000000"/>
                <w:sz w:val="24"/>
              </w:rPr>
              <w:t>"</w:t>
            </w:r>
            <w:r>
              <w:rPr>
                <w:rFonts w:ascii="Arial" w:eastAsia="Arial" w:hAnsi="Arial" w:cs="Arial"/>
                <w:b/>
                <w:color w:val="000000"/>
                <w:sz w:val="24"/>
                <w:szCs w:val="24"/>
              </w:rPr>
              <w:t>KPI</w:t>
            </w:r>
            <w:r w:rsidRPr="008956FC">
              <w:rPr>
                <w:rFonts w:ascii="Arial" w:hAnsi="Arial"/>
                <w:b/>
                <w:color w:val="000000"/>
                <w:sz w:val="24"/>
              </w:rPr>
              <w:t xml:space="preserve"> Performance Measure"</w:t>
            </w:r>
          </w:p>
        </w:tc>
        <w:tc>
          <w:tcPr>
            <w:tcW w:w="5953" w:type="dxa"/>
            <w:shd w:val="clear" w:color="auto" w:fill="auto"/>
          </w:tcPr>
          <w:p w14:paraId="196988E0" w14:textId="0D784D69"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sz w:val="24"/>
                <w:szCs w:val="24"/>
              </w:rPr>
              <w:t xml:space="preserve">means each of the Performance Measures in the columns headed Measure Requirement and </w:t>
            </w:r>
            <w:r>
              <w:rPr>
                <w:rFonts w:ascii="Arial" w:eastAsia="Arial" w:hAnsi="Arial" w:cs="Arial"/>
                <w:sz w:val="24"/>
                <w:szCs w:val="24"/>
              </w:rPr>
              <w:lastRenderedPageBreak/>
              <w:t xml:space="preserve">Measure Achievement Calculation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w:t>
            </w:r>
          </w:p>
        </w:tc>
      </w:tr>
      <w:tr w:rsidR="006231A0" w14:paraId="4B6FB0E4" w14:textId="77777777">
        <w:tc>
          <w:tcPr>
            <w:tcW w:w="2410" w:type="dxa"/>
            <w:shd w:val="clear" w:color="auto" w:fill="auto"/>
          </w:tcPr>
          <w:p w14:paraId="2EDF12CA"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"Performance Monitoring Reports"</w:t>
            </w:r>
          </w:p>
        </w:tc>
        <w:tc>
          <w:tcPr>
            <w:tcW w:w="5953" w:type="dxa"/>
            <w:shd w:val="clear" w:color="auto" w:fill="auto"/>
          </w:tcPr>
          <w:p w14:paraId="3EE0A6E7"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6231A0" w14:paraId="195F9CDE" w14:textId="77777777">
        <w:tc>
          <w:tcPr>
            <w:tcW w:w="2410" w:type="dxa"/>
            <w:shd w:val="clear" w:color="auto" w:fill="auto"/>
          </w:tcPr>
          <w:p w14:paraId="16E1E935"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Review Meetings"</w:t>
            </w:r>
          </w:p>
        </w:tc>
        <w:tc>
          <w:tcPr>
            <w:tcW w:w="5953" w:type="dxa"/>
            <w:shd w:val="clear" w:color="auto" w:fill="auto"/>
          </w:tcPr>
          <w:p w14:paraId="73BC4994"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6231A0" w14:paraId="6E550EA0" w14:textId="77777777">
        <w:tc>
          <w:tcPr>
            <w:tcW w:w="2410" w:type="dxa"/>
            <w:shd w:val="clear" w:color="auto" w:fill="auto"/>
          </w:tcPr>
          <w:p w14:paraId="0411ABEC"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5953" w:type="dxa"/>
            <w:shd w:val="clear" w:color="auto" w:fill="auto"/>
          </w:tcPr>
          <w:p w14:paraId="34FD23D9"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the Supplier's actual performance against the KPIs falls to or below the standard to which Paragraph 6 of Part A of this Schedule refers; and</w:t>
            </w:r>
          </w:p>
        </w:tc>
      </w:tr>
      <w:tr w:rsidR="006231A0" w14:paraId="2D8394E7" w14:textId="77777777" w:rsidTr="008956FC">
        <w:tc>
          <w:tcPr>
            <w:tcW w:w="2410" w:type="dxa"/>
            <w:shd w:val="clear" w:color="auto" w:fill="auto"/>
          </w:tcPr>
          <w:p w14:paraId="501F0550" w14:textId="04268E9A" w:rsidR="006231A0" w:rsidRPr="008956FC" w:rsidRDefault="005D6FC8" w:rsidP="008956FC">
            <w:pPr>
              <w:pBdr>
                <w:top w:val="nil"/>
                <w:left w:val="nil"/>
                <w:bottom w:val="nil"/>
                <w:right w:val="nil"/>
                <w:between w:val="nil"/>
              </w:pBdr>
              <w:spacing w:after="120"/>
              <w:ind w:left="-108"/>
              <w:rPr>
                <w:color w:val="000000"/>
                <w:sz w:val="24"/>
              </w:rPr>
            </w:pPr>
            <w:r>
              <w:rPr>
                <w:rFonts w:ascii="Arial" w:eastAsia="Arial" w:hAnsi="Arial" w:cs="Arial"/>
                <w:b/>
                <w:color w:val="000000"/>
                <w:sz w:val="24"/>
                <w:szCs w:val="24"/>
              </w:rPr>
              <w:t>"KPI Credits"</w:t>
            </w:r>
          </w:p>
        </w:tc>
        <w:tc>
          <w:tcPr>
            <w:tcW w:w="5953" w:type="dxa"/>
            <w:shd w:val="clear" w:color="auto" w:fill="auto"/>
          </w:tcPr>
          <w:p w14:paraId="511BAB33" w14:textId="4A181F2F"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color w:val="000000"/>
                <w:sz w:val="24"/>
                <w:szCs w:val="24"/>
              </w:rPr>
              <w:t>any KPI Credits specified</w:t>
            </w:r>
            <w:r w:rsidRPr="008956FC">
              <w:rPr>
                <w:rFonts w:ascii="Arial" w:hAnsi="Arial"/>
                <w:color w:val="000000"/>
                <w:sz w:val="24"/>
              </w:rPr>
              <w:t xml:space="preserve"> in the Annex to Part</w:t>
            </w:r>
            <w:r>
              <w:rPr>
                <w:rFonts w:ascii="Arial" w:eastAsia="Arial" w:hAnsi="Arial" w:cs="Arial"/>
                <w:color w:val="000000"/>
                <w:sz w:val="24"/>
                <w:szCs w:val="24"/>
              </w:rPr>
              <w:t xml:space="preserve"> </w:t>
            </w:r>
            <w:r w:rsidRPr="008956FC">
              <w:rPr>
                <w:rFonts w:ascii="Arial" w:hAnsi="Arial"/>
                <w:color w:val="000000"/>
                <w:sz w:val="24"/>
              </w:rPr>
              <w:t>A of this Schedule</w:t>
            </w:r>
            <w:r>
              <w:rPr>
                <w:rFonts w:ascii="Arial" w:eastAsia="Arial" w:hAnsi="Arial" w:cs="Arial"/>
                <w:color w:val="000000"/>
                <w:sz w:val="24"/>
                <w:szCs w:val="24"/>
              </w:rPr>
              <w:t xml:space="preserve"> being payable by the Supplier to the Buyer in respect of any failure by the Supplier to meet one or more KPIs;</w:t>
            </w:r>
          </w:p>
        </w:tc>
      </w:tr>
      <w:tr w:rsidR="006231A0" w14:paraId="347B5786" w14:textId="77777777">
        <w:tc>
          <w:tcPr>
            <w:tcW w:w="2410" w:type="dxa"/>
            <w:shd w:val="clear" w:color="auto" w:fill="auto"/>
          </w:tcPr>
          <w:p w14:paraId="2BF41F70"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"Ratchet"</w:t>
            </w:r>
          </w:p>
        </w:tc>
        <w:tc>
          <w:tcPr>
            <w:tcW w:w="5953" w:type="dxa"/>
            <w:shd w:val="clear" w:color="auto" w:fill="auto"/>
          </w:tcPr>
          <w:p w14:paraId="4F66C408"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shall have the meaning in Part A of this Schedule.</w:t>
            </w:r>
          </w:p>
        </w:tc>
      </w:tr>
    </w:tbl>
    <w:p w14:paraId="7AD989BD" w14:textId="77777777" w:rsidR="006231A0" w:rsidRDefault="006231A0">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14:paraId="0686249B" w14:textId="79C6F989" w:rsidR="006231A0" w:rsidRPr="008956FC" w:rsidRDefault="005D6FC8" w:rsidP="008956FC">
      <w:pPr>
        <w:numPr>
          <w:ilvl w:val="0"/>
          <w:numId w:val="3"/>
        </w:numPr>
        <w:pBdr>
          <w:top w:val="nil"/>
          <w:left w:val="nil"/>
          <w:bottom w:val="nil"/>
          <w:right w:val="nil"/>
          <w:between w:val="nil"/>
        </w:pBdr>
        <w:tabs>
          <w:tab w:val="left" w:pos="142"/>
        </w:tabs>
        <w:spacing w:before="240" w:after="120" w:line="240" w:lineRule="auto"/>
        <w:rPr>
          <w:rFonts w:ascii="Arial" w:hAnsi="Arial"/>
          <w:smallCaps/>
          <w:color w:val="000000"/>
          <w:sz w:val="24"/>
        </w:rPr>
      </w:pPr>
      <w:r w:rsidRPr="008956FC">
        <w:rPr>
          <w:rFonts w:ascii="Arial" w:hAnsi="Arial" w:hint="eastAsia"/>
          <w:b/>
          <w:color w:val="000000"/>
          <w:sz w:val="24"/>
        </w:rPr>
        <w:t>What happens if you don</w:t>
      </w:r>
      <w:r w:rsidR="00150563">
        <w:rPr>
          <w:rFonts w:ascii="Arial" w:hAnsi="Arial"/>
          <w:b/>
          <w:color w:val="000000"/>
          <w:sz w:val="24"/>
        </w:rPr>
        <w:t>’</w:t>
      </w:r>
      <w:r w:rsidRPr="008956FC">
        <w:rPr>
          <w:rFonts w:ascii="Arial" w:hAnsi="Arial" w:hint="eastAsia"/>
          <w:b/>
          <w:color w:val="000000"/>
          <w:sz w:val="24"/>
        </w:rPr>
        <w:t xml:space="preserve">t meet the </w:t>
      </w:r>
      <w:r>
        <w:rPr>
          <w:rFonts w:ascii="Arial" w:eastAsia="Arial" w:hAnsi="Arial" w:cs="Arial"/>
          <w:b/>
          <w:color w:val="000000"/>
          <w:sz w:val="24"/>
          <w:szCs w:val="24"/>
        </w:rPr>
        <w:t>KPIs</w:t>
      </w:r>
    </w:p>
    <w:p w14:paraId="6336F50B" w14:textId="442C44A5"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shall at all times provide the Deliverables to meet or exceed the </w:t>
      </w:r>
      <w:r>
        <w:rPr>
          <w:rFonts w:ascii="Arial" w:eastAsia="Arial" w:hAnsi="Arial" w:cs="Arial"/>
          <w:color w:val="000000"/>
          <w:sz w:val="24"/>
          <w:szCs w:val="24"/>
        </w:rPr>
        <w:t>KPI</w:t>
      </w:r>
      <w:r w:rsidRPr="008956FC">
        <w:rPr>
          <w:rFonts w:ascii="Arial" w:hAnsi="Arial"/>
          <w:color w:val="000000"/>
          <w:sz w:val="24"/>
        </w:rPr>
        <w:t xml:space="preserve"> Performance Measure for each </w:t>
      </w:r>
      <w:r>
        <w:rPr>
          <w:rFonts w:ascii="Arial" w:eastAsia="Arial" w:hAnsi="Arial" w:cs="Arial"/>
          <w:color w:val="000000"/>
          <w:sz w:val="24"/>
          <w:szCs w:val="24"/>
        </w:rPr>
        <w:t>KPI</w:t>
      </w:r>
      <w:r w:rsidRPr="008956FC">
        <w:rPr>
          <w:rFonts w:ascii="Arial" w:hAnsi="Arial"/>
          <w:color w:val="000000"/>
          <w:sz w:val="24"/>
        </w:rPr>
        <w:t>.</w:t>
      </w:r>
    </w:p>
    <w:p w14:paraId="4E63A3AD" w14:textId="6A803AA7"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acknowledges that any </w:t>
      </w:r>
      <w:r>
        <w:rPr>
          <w:rFonts w:ascii="Arial" w:eastAsia="Arial" w:hAnsi="Arial" w:cs="Arial"/>
          <w:color w:val="000000"/>
          <w:sz w:val="24"/>
          <w:szCs w:val="24"/>
        </w:rPr>
        <w:t>KPI</w:t>
      </w:r>
      <w:r w:rsidRPr="008956FC">
        <w:rPr>
          <w:rFonts w:ascii="Arial" w:hAnsi="Arial"/>
          <w:color w:val="000000"/>
          <w:sz w:val="24"/>
        </w:rPr>
        <w:t xml:space="preserve"> Failure shall entitle the Buyer to the rights set out in Part A of this Schedule including the right to any </w:t>
      </w:r>
      <w:r>
        <w:rPr>
          <w:rFonts w:ascii="Arial" w:eastAsia="Arial" w:hAnsi="Arial" w:cs="Arial"/>
          <w:color w:val="000000"/>
          <w:sz w:val="24"/>
          <w:szCs w:val="24"/>
        </w:rPr>
        <w:t>KPI</w:t>
      </w:r>
      <w:r w:rsidRPr="008956FC">
        <w:rPr>
          <w:rFonts w:ascii="Arial" w:hAnsi="Arial"/>
          <w:color w:val="000000"/>
          <w:sz w:val="24"/>
        </w:rPr>
        <w:t xml:space="preserve"> Credits and that any </w:t>
      </w:r>
      <w:r>
        <w:rPr>
          <w:rFonts w:ascii="Arial" w:eastAsia="Arial" w:hAnsi="Arial" w:cs="Arial"/>
          <w:color w:val="000000"/>
          <w:sz w:val="24"/>
          <w:szCs w:val="24"/>
        </w:rPr>
        <w:t>KPI</w:t>
      </w:r>
      <w:r w:rsidRPr="008956FC">
        <w:rPr>
          <w:rFonts w:ascii="Arial" w:hAnsi="Arial"/>
          <w:color w:val="000000"/>
          <w:sz w:val="24"/>
        </w:rPr>
        <w:t xml:space="preserve"> Credit is a price adjustment and not an estimate of the Loss that may be suffered by the Buyer as a result of the Supplier’s failure to meet any </w:t>
      </w:r>
      <w:r>
        <w:rPr>
          <w:rFonts w:ascii="Arial" w:eastAsia="Arial" w:hAnsi="Arial" w:cs="Arial"/>
          <w:color w:val="000000"/>
          <w:sz w:val="24"/>
          <w:szCs w:val="24"/>
        </w:rPr>
        <w:t>KPI</w:t>
      </w:r>
      <w:r w:rsidRPr="008956FC">
        <w:rPr>
          <w:rFonts w:ascii="Arial" w:hAnsi="Arial"/>
          <w:color w:val="000000"/>
          <w:sz w:val="24"/>
        </w:rPr>
        <w:t xml:space="preserve"> Performance Measure.</w:t>
      </w:r>
    </w:p>
    <w:p w14:paraId="5F8B0747" w14:textId="77777777"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Supplier shall send Performance Monitoring Reports to the Buyer detailing the level of service which was achieved in accordance with the provisions of Part B (Performance Monitoring) of this Schedule.</w:t>
      </w:r>
    </w:p>
    <w:p w14:paraId="73A30A0E" w14:textId="29FDB03B"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A </w:t>
      </w:r>
      <w:r>
        <w:rPr>
          <w:rFonts w:ascii="Arial" w:eastAsia="Arial" w:hAnsi="Arial" w:cs="Arial"/>
          <w:color w:val="000000"/>
          <w:sz w:val="24"/>
          <w:szCs w:val="24"/>
        </w:rPr>
        <w:t>KPI</w:t>
      </w:r>
      <w:r w:rsidRPr="008956FC">
        <w:rPr>
          <w:rFonts w:ascii="Arial" w:hAnsi="Arial"/>
          <w:color w:val="000000"/>
          <w:sz w:val="24"/>
        </w:rPr>
        <w:t xml:space="preserve"> Credit shall be the Buyer’s exclusive financial remedy for a </w:t>
      </w:r>
      <w:r>
        <w:rPr>
          <w:rFonts w:ascii="Arial" w:eastAsia="Arial" w:hAnsi="Arial" w:cs="Arial"/>
          <w:color w:val="000000"/>
          <w:sz w:val="24"/>
          <w:szCs w:val="24"/>
        </w:rPr>
        <w:t>KPI</w:t>
      </w:r>
      <w:r w:rsidRPr="008956FC">
        <w:rPr>
          <w:rFonts w:ascii="Arial" w:hAnsi="Arial"/>
          <w:color w:val="000000"/>
          <w:sz w:val="24"/>
        </w:rPr>
        <w:t xml:space="preserve"> Failure except where:</w:t>
      </w:r>
    </w:p>
    <w:p w14:paraId="50C59E11" w14:textId="77777777" w:rsidR="006231A0" w:rsidRDefault="005D6FC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1t3h5sf" w:colFirst="0" w:colLast="0"/>
      <w:bookmarkEnd w:id="5"/>
      <w:r>
        <w:rPr>
          <w:rFonts w:ascii="Arial" w:eastAsia="Arial" w:hAnsi="Arial" w:cs="Arial"/>
          <w:color w:val="000000"/>
          <w:sz w:val="24"/>
          <w:szCs w:val="24"/>
        </w:rPr>
        <w:t>the KPI Failure:</w:t>
      </w:r>
    </w:p>
    <w:p w14:paraId="484DCA11" w14:textId="77777777" w:rsidR="006231A0" w:rsidRPr="008956FC" w:rsidRDefault="005D6FC8" w:rsidP="008956FC">
      <w:pPr>
        <w:numPr>
          <w:ilvl w:val="3"/>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has arisen due to a Prohibited Act or wilful Default by the Supplier; </w:t>
      </w:r>
    </w:p>
    <w:p w14:paraId="6B4DCA7C" w14:textId="77777777" w:rsidR="006231A0" w:rsidRPr="008956FC" w:rsidRDefault="005D6FC8" w:rsidP="008956FC">
      <w:pPr>
        <w:numPr>
          <w:ilvl w:val="3"/>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results in the corruption or loss of any Government Data; and/or</w:t>
      </w:r>
    </w:p>
    <w:p w14:paraId="225DEEDC" w14:textId="77777777" w:rsidR="006231A0" w:rsidRPr="008956FC" w:rsidRDefault="005D6FC8" w:rsidP="008956FC">
      <w:pPr>
        <w:numPr>
          <w:ilvl w:val="3"/>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lastRenderedPageBreak/>
        <w:t>results in the Buyer being required to make a compensation payment to one or more third parties; and/or</w:t>
      </w:r>
    </w:p>
    <w:p w14:paraId="08A1327C" w14:textId="454FC7A0" w:rsidR="006231A0" w:rsidRDefault="005D6FC8">
      <w:pPr>
        <w:numPr>
          <w:ilvl w:val="2"/>
          <w:numId w:val="3"/>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a Persistent KPI Failure occurs and/or the Buyer is otherwise entitled to or does terminate this Contract pursuant to Clause 10.4 of the Core Terms (When CCS or the buyer can end a contract).</w:t>
      </w:r>
    </w:p>
    <w:p w14:paraId="2B1A7A3E" w14:textId="20AA1081"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bookmarkStart w:id="6" w:name="_heading=h.gjdgxs" w:colFirst="0" w:colLast="0"/>
      <w:bookmarkEnd w:id="6"/>
      <w:r>
        <w:rPr>
          <w:rFonts w:ascii="Arial" w:eastAsia="Arial" w:hAnsi="Arial" w:cs="Arial"/>
          <w:color w:val="000000"/>
          <w:sz w:val="24"/>
          <w:szCs w:val="24"/>
        </w:rPr>
        <w:t>the</w:t>
      </w:r>
      <w:r w:rsidRPr="008956FC">
        <w:rPr>
          <w:rFonts w:ascii="Arial" w:hAnsi="Arial"/>
          <w:color w:val="000000"/>
          <w:sz w:val="24"/>
        </w:rPr>
        <w:t xml:space="preserve"> Buyer </w:t>
      </w:r>
      <w:r>
        <w:rPr>
          <w:rFonts w:ascii="Arial" w:eastAsia="Arial" w:hAnsi="Arial" w:cs="Arial"/>
          <w:color w:val="000000"/>
          <w:sz w:val="24"/>
          <w:szCs w:val="24"/>
        </w:rPr>
        <w:t>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r w:rsidRPr="008956FC">
        <w:rPr>
          <w:rFonts w:ascii="Arial" w:hAnsi="Arial"/>
          <w:color w:val="000000"/>
          <w:sz w:val="24"/>
        </w:rPr>
        <w:t>).</w:t>
      </w:r>
    </w:p>
    <w:p w14:paraId="31D06308" w14:textId="5E7662E8"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Not more than once in each Contract Year, the Buyer may, on giving the Supplier at least three (3) Months’ notice, change the weighting of </w:t>
      </w:r>
      <w:r>
        <w:rPr>
          <w:rFonts w:ascii="Arial" w:eastAsia="Arial" w:hAnsi="Arial" w:cs="Arial"/>
          <w:color w:val="000000"/>
          <w:sz w:val="24"/>
          <w:szCs w:val="24"/>
        </w:rPr>
        <w:t>KPI</w:t>
      </w:r>
      <w:r w:rsidRPr="008956FC">
        <w:rPr>
          <w:rFonts w:ascii="Arial" w:hAnsi="Arial"/>
          <w:color w:val="000000"/>
          <w:sz w:val="24"/>
        </w:rPr>
        <w:t xml:space="preserve"> Performance Measure in respect of one or more </w:t>
      </w:r>
      <w:r>
        <w:rPr>
          <w:rFonts w:ascii="Arial" w:eastAsia="Arial" w:hAnsi="Arial" w:cs="Arial"/>
          <w:color w:val="000000"/>
          <w:sz w:val="24"/>
          <w:szCs w:val="24"/>
        </w:rPr>
        <w:t>KPIs</w:t>
      </w:r>
      <w:r w:rsidRPr="008956FC">
        <w:rPr>
          <w:rFonts w:ascii="Arial" w:hAnsi="Arial"/>
          <w:color w:val="000000"/>
          <w:sz w:val="24"/>
        </w:rPr>
        <w:t xml:space="preserve"> and the Supplier shall not be entitled to object to, or increase the Charges as a result of such changes, provided that:</w:t>
      </w:r>
    </w:p>
    <w:p w14:paraId="227400D3" w14:textId="7EBD5749"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total number of </w:t>
      </w:r>
      <w:r>
        <w:rPr>
          <w:rFonts w:ascii="Arial" w:eastAsia="Arial" w:hAnsi="Arial" w:cs="Arial"/>
          <w:color w:val="000000"/>
          <w:sz w:val="24"/>
          <w:szCs w:val="24"/>
        </w:rPr>
        <w:t>KPIs</w:t>
      </w:r>
      <w:r w:rsidRPr="008956FC">
        <w:rPr>
          <w:rFonts w:ascii="Arial" w:hAnsi="Arial"/>
          <w:color w:val="000000"/>
          <w:sz w:val="24"/>
        </w:rPr>
        <w:t xml:space="preserve"> for which the weighting is to be changed does not exceed the number applicable as at the Start Date; </w:t>
      </w:r>
    </w:p>
    <w:p w14:paraId="57506D1A" w14:textId="77777777"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principal purpose of the change is to reflect changes in the Buyer's business requirements and/or priorities or to reflect changing industry standards; and</w:t>
      </w:r>
    </w:p>
    <w:p w14:paraId="43765F1A" w14:textId="40CA9922"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there is no change to the </w:t>
      </w:r>
      <w:r>
        <w:rPr>
          <w:rFonts w:ascii="Arial" w:eastAsia="Arial" w:hAnsi="Arial" w:cs="Arial"/>
          <w:color w:val="000000"/>
          <w:sz w:val="24"/>
          <w:szCs w:val="24"/>
        </w:rPr>
        <w:t>At Risk Amount</w:t>
      </w:r>
    </w:p>
    <w:p w14:paraId="2F2B4E6D" w14:textId="376192E1" w:rsidR="006231A0" w:rsidRPr="008956FC" w:rsidRDefault="005D6FC8" w:rsidP="008956FC">
      <w:pPr>
        <w:numPr>
          <w:ilvl w:val="0"/>
          <w:numId w:val="3"/>
        </w:numPr>
        <w:pBdr>
          <w:top w:val="nil"/>
          <w:left w:val="nil"/>
          <w:bottom w:val="nil"/>
          <w:right w:val="nil"/>
          <w:between w:val="nil"/>
        </w:pBdr>
        <w:tabs>
          <w:tab w:val="left" w:pos="142"/>
        </w:tabs>
        <w:spacing w:before="240" w:after="120" w:line="240" w:lineRule="auto"/>
        <w:rPr>
          <w:rFonts w:ascii="Arial" w:hAnsi="Arial"/>
          <w:caps/>
          <w:color w:val="000000"/>
          <w:sz w:val="24"/>
        </w:rPr>
      </w:pPr>
      <w:r>
        <w:rPr>
          <w:rFonts w:ascii="Arial" w:eastAsia="Arial" w:hAnsi="Arial" w:cs="Arial"/>
          <w:b/>
          <w:sz w:val="24"/>
          <w:szCs w:val="24"/>
        </w:rPr>
        <w:t>Persistent</w:t>
      </w:r>
      <w:r>
        <w:rPr>
          <w:rFonts w:ascii="Arial" w:eastAsia="Arial" w:hAnsi="Arial" w:cs="Arial"/>
          <w:b/>
          <w:color w:val="000000"/>
          <w:sz w:val="24"/>
          <w:szCs w:val="24"/>
        </w:rPr>
        <w:t xml:space="preserve"> KPI</w:t>
      </w:r>
      <w:r w:rsidRPr="008956FC">
        <w:rPr>
          <w:rFonts w:ascii="Arial" w:hAnsi="Arial" w:hint="eastAsia"/>
          <w:b/>
          <w:color w:val="000000"/>
          <w:sz w:val="24"/>
        </w:rPr>
        <w:t xml:space="preserve"> Failure</w:t>
      </w:r>
    </w:p>
    <w:p w14:paraId="2B6C673E" w14:textId="354CA04C" w:rsidR="006231A0" w:rsidRPr="008956FC" w:rsidRDefault="005D6FC8" w:rsidP="008956FC">
      <w:pPr>
        <w:pBdr>
          <w:top w:val="nil"/>
          <w:left w:val="nil"/>
          <w:bottom w:val="nil"/>
          <w:right w:val="nil"/>
          <w:between w:val="nil"/>
        </w:pBdr>
        <w:spacing w:before="120" w:after="120" w:line="240" w:lineRule="auto"/>
        <w:ind w:left="936" w:hanging="576"/>
        <w:rPr>
          <w:rFonts w:ascii="Arial" w:hAnsi="Arial"/>
          <w:color w:val="000000"/>
          <w:sz w:val="24"/>
        </w:rPr>
      </w:pPr>
      <w:r w:rsidRPr="008956FC">
        <w:rPr>
          <w:rFonts w:ascii="Arial" w:hAnsi="Arial"/>
          <w:color w:val="000000"/>
          <w:sz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w:t>
      </w:r>
      <w:r w:rsidRPr="008956FC">
        <w:rPr>
          <w:rFonts w:ascii="Arial" w:hAnsi="Arial"/>
          <w:color w:val="000000"/>
          <w:sz w:val="24"/>
        </w:rPr>
        <w:t xml:space="preserve"> Failure:</w:t>
      </w:r>
    </w:p>
    <w:p w14:paraId="78C17F79" w14:textId="57AE664A"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any </w:t>
      </w:r>
      <w:r>
        <w:rPr>
          <w:rFonts w:ascii="Arial" w:eastAsia="Arial" w:hAnsi="Arial" w:cs="Arial"/>
          <w:color w:val="000000"/>
          <w:sz w:val="24"/>
          <w:szCs w:val="24"/>
        </w:rPr>
        <w:t>KPI</w:t>
      </w:r>
      <w:r w:rsidRPr="008956FC">
        <w:rPr>
          <w:rFonts w:ascii="Arial" w:hAnsi="Arial"/>
          <w:color w:val="000000"/>
          <w:sz w:val="24"/>
        </w:rPr>
        <w:t xml:space="preserve"> Credits that would otherwise have accrued during the relevant Service Period shall not accrue; and</w:t>
      </w:r>
    </w:p>
    <w:p w14:paraId="32444FE0" w14:textId="34FBA244"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Buyer shall be entitled to withhold and retain as compensation a sum equal to any Charges</w:t>
      </w:r>
      <w:r>
        <w:rPr>
          <w:rFonts w:ascii="Arial" w:eastAsia="Arial" w:hAnsi="Arial" w:cs="Arial"/>
          <w:color w:val="000000"/>
          <w:sz w:val="24"/>
          <w:szCs w:val="24"/>
        </w:rPr>
        <w:t xml:space="preserve"> relating to the Persistent KPI Failure</w:t>
      </w:r>
      <w:r w:rsidRPr="008956FC">
        <w:rPr>
          <w:rFonts w:ascii="Arial" w:hAnsi="Arial"/>
          <w:color w:val="000000"/>
          <w:sz w:val="24"/>
        </w:rPr>
        <w:t xml:space="preserve"> which would otherwise have been due to the Supplier in respect of that Service Period ("</w:t>
      </w:r>
      <w:r w:rsidRPr="008956FC">
        <w:rPr>
          <w:rFonts w:ascii="Arial" w:hAnsi="Arial"/>
          <w:b/>
          <w:color w:val="000000"/>
          <w:sz w:val="24"/>
        </w:rPr>
        <w:t xml:space="preserve">Compensation for </w:t>
      </w:r>
      <w:r>
        <w:rPr>
          <w:rFonts w:ascii="Arial" w:eastAsia="Arial" w:hAnsi="Arial" w:cs="Arial"/>
          <w:b/>
          <w:color w:val="000000"/>
          <w:sz w:val="24"/>
          <w:szCs w:val="24"/>
        </w:rPr>
        <w:t>Persistent KPI</w:t>
      </w:r>
      <w:r w:rsidRPr="008956FC">
        <w:rPr>
          <w:rFonts w:ascii="Arial" w:hAnsi="Arial"/>
          <w:b/>
          <w:color w:val="000000"/>
          <w:sz w:val="24"/>
        </w:rPr>
        <w:t xml:space="preserve"> Failure</w:t>
      </w:r>
      <w:r w:rsidRPr="008956FC">
        <w:rPr>
          <w:rFonts w:ascii="Arial" w:hAnsi="Arial"/>
          <w:color w:val="000000"/>
          <w:sz w:val="24"/>
        </w:rPr>
        <w:t>"),</w:t>
      </w:r>
    </w:p>
    <w:p w14:paraId="01B9153A" w14:textId="348CDEC6" w:rsidR="006231A0" w:rsidRPr="008956FC" w:rsidRDefault="005D6FC8" w:rsidP="008956FC">
      <w:pPr>
        <w:pBdr>
          <w:top w:val="nil"/>
          <w:left w:val="nil"/>
          <w:bottom w:val="nil"/>
          <w:right w:val="nil"/>
          <w:between w:val="nil"/>
        </w:pBdr>
        <w:tabs>
          <w:tab w:val="left" w:pos="3402"/>
        </w:tabs>
        <w:spacing w:after="220" w:line="240" w:lineRule="auto"/>
        <w:ind w:left="720"/>
        <w:rPr>
          <w:rFonts w:ascii="Arial" w:hAnsi="Arial"/>
          <w:color w:val="000000"/>
          <w:sz w:val="24"/>
        </w:rPr>
      </w:pPr>
      <w:r w:rsidRPr="008956FC">
        <w:rPr>
          <w:rFonts w:ascii="Arial" w:hAnsi="Arial"/>
          <w:color w:val="000000"/>
          <w:sz w:val="24"/>
        </w:rPr>
        <w:t xml:space="preserve">provided that the operation of this paragraph </w:t>
      </w:r>
      <w:r>
        <w:rPr>
          <w:rFonts w:ascii="Arial" w:eastAsia="Arial" w:hAnsi="Arial" w:cs="Arial"/>
          <w:color w:val="000000"/>
          <w:sz w:val="24"/>
          <w:szCs w:val="24"/>
        </w:rPr>
        <w:t>3</w:t>
      </w:r>
      <w:r w:rsidRPr="008956FC">
        <w:rPr>
          <w:rFonts w:ascii="Arial" w:hAnsi="Arial"/>
          <w:color w:val="000000"/>
          <w:sz w:val="24"/>
        </w:rPr>
        <w:t xml:space="preserve"> shall be without prejudice to the right of the Buyer to terminate this Contract and/or to claim damages from the Supplier for material Default.</w:t>
      </w:r>
    </w:p>
    <w:p w14:paraId="3470052C" w14:textId="77777777" w:rsidR="006231A0" w:rsidRPr="008956FC" w:rsidRDefault="006231A0" w:rsidP="008956FC">
      <w:pPr>
        <w:keepNext/>
        <w:pBdr>
          <w:top w:val="nil"/>
          <w:left w:val="nil"/>
          <w:bottom w:val="nil"/>
          <w:right w:val="nil"/>
          <w:between w:val="nil"/>
        </w:pBdr>
        <w:spacing w:after="240" w:line="240" w:lineRule="auto"/>
        <w:rPr>
          <w:rFonts w:ascii="Arial" w:hAnsi="Arial"/>
          <w:color w:val="000000"/>
          <w:sz w:val="36"/>
        </w:rPr>
      </w:pPr>
      <w:bookmarkStart w:id="7" w:name="_heading=h.1fob9te" w:colFirst="0" w:colLast="0"/>
      <w:bookmarkEnd w:id="7"/>
    </w:p>
    <w:p w14:paraId="48833E2E" w14:textId="54172AB3" w:rsidR="006231A0" w:rsidRPr="008956FC" w:rsidRDefault="005D6FC8" w:rsidP="008956FC">
      <w:pPr>
        <w:keepNext/>
        <w:pBdr>
          <w:top w:val="nil"/>
          <w:left w:val="nil"/>
          <w:bottom w:val="nil"/>
          <w:right w:val="nil"/>
          <w:between w:val="nil"/>
        </w:pBdr>
        <w:spacing w:after="240" w:line="240" w:lineRule="auto"/>
        <w:rPr>
          <w:rFonts w:ascii="Arial" w:hAnsi="Arial"/>
          <w:caps/>
          <w:color w:val="000000"/>
          <w:sz w:val="36"/>
        </w:rPr>
      </w:pPr>
      <w:r w:rsidRPr="008956FC">
        <w:rPr>
          <w:rFonts w:ascii="Arial" w:hAnsi="Arial" w:hint="eastAsia"/>
          <w:b/>
          <w:color w:val="000000"/>
          <w:sz w:val="36"/>
        </w:rPr>
        <w:t xml:space="preserve">Part A: </w:t>
      </w:r>
      <w:r>
        <w:rPr>
          <w:rFonts w:ascii="Arial" w:eastAsia="Arial" w:hAnsi="Arial" w:cs="Arial"/>
          <w:b/>
          <w:color w:val="000000"/>
          <w:sz w:val="36"/>
          <w:szCs w:val="36"/>
        </w:rPr>
        <w:t>KPIs</w:t>
      </w:r>
      <w:r w:rsidRPr="008956FC">
        <w:rPr>
          <w:rFonts w:ascii="Arial" w:hAnsi="Arial" w:hint="eastAsia"/>
          <w:b/>
          <w:color w:val="000000"/>
          <w:sz w:val="36"/>
        </w:rPr>
        <w:t xml:space="preserve"> and </w:t>
      </w:r>
      <w:r>
        <w:rPr>
          <w:rFonts w:ascii="Arial" w:eastAsia="Arial" w:hAnsi="Arial" w:cs="Arial"/>
          <w:b/>
          <w:color w:val="000000"/>
          <w:sz w:val="36"/>
          <w:szCs w:val="36"/>
        </w:rPr>
        <w:t>KPI</w:t>
      </w:r>
      <w:r w:rsidRPr="008956FC">
        <w:rPr>
          <w:rFonts w:ascii="Arial" w:hAnsi="Arial" w:hint="eastAsia"/>
          <w:b/>
          <w:color w:val="000000"/>
          <w:sz w:val="36"/>
        </w:rPr>
        <w:t xml:space="preserve"> Credits </w:t>
      </w:r>
    </w:p>
    <w:p w14:paraId="6DF54958" w14:textId="77777777" w:rsidR="006231A0" w:rsidRDefault="005D6FC8">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14:paraId="760B9E9D" w14:textId="77777777" w:rsidR="006231A0" w:rsidRPr="008956FC" w:rsidRDefault="005D6FC8" w:rsidP="008956FC">
      <w:pPr>
        <w:pBdr>
          <w:top w:val="nil"/>
          <w:left w:val="nil"/>
          <w:bottom w:val="nil"/>
          <w:right w:val="nil"/>
          <w:between w:val="nil"/>
        </w:pBdr>
        <w:spacing w:before="120" w:after="120" w:line="240" w:lineRule="auto"/>
        <w:ind w:left="720" w:hanging="576"/>
        <w:rPr>
          <w:rFonts w:ascii="Arial" w:hAnsi="Arial"/>
          <w:color w:val="000000"/>
          <w:sz w:val="24"/>
        </w:rPr>
      </w:pPr>
      <w:r w:rsidRPr="008956FC">
        <w:rPr>
          <w:rFonts w:ascii="Arial" w:hAnsi="Arial"/>
          <w:color w:val="000000"/>
          <w:sz w:val="24"/>
        </w:rPr>
        <w:t>If the level of performance of the Supplier:</w:t>
      </w:r>
    </w:p>
    <w:p w14:paraId="36D0F1BC" w14:textId="56597DE4" w:rsidR="006231A0" w:rsidRPr="008956FC" w:rsidRDefault="005D6FC8" w:rsidP="008956FC">
      <w:pPr>
        <w:numPr>
          <w:ilvl w:val="1"/>
          <w:numId w:val="1"/>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is likely to or fails to meet any </w:t>
      </w:r>
      <w:r>
        <w:rPr>
          <w:rFonts w:ascii="Arial" w:eastAsia="Arial" w:hAnsi="Arial" w:cs="Arial"/>
          <w:color w:val="000000"/>
          <w:sz w:val="24"/>
          <w:szCs w:val="24"/>
        </w:rPr>
        <w:t>KPI</w:t>
      </w:r>
      <w:r w:rsidRPr="008956FC">
        <w:rPr>
          <w:rFonts w:ascii="Arial" w:hAnsi="Arial"/>
          <w:color w:val="000000"/>
          <w:sz w:val="24"/>
        </w:rPr>
        <w:t xml:space="preserve"> Performance Measure; or</w:t>
      </w:r>
    </w:p>
    <w:p w14:paraId="08D68727" w14:textId="423F7DED" w:rsidR="006231A0" w:rsidRPr="008956FC" w:rsidRDefault="005D6FC8" w:rsidP="008956FC">
      <w:pPr>
        <w:numPr>
          <w:ilvl w:val="1"/>
          <w:numId w:val="1"/>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lastRenderedPageBreak/>
        <w:t xml:space="preserve">is likely to cause or causes a </w:t>
      </w:r>
      <w:r>
        <w:rPr>
          <w:rFonts w:ascii="Arial" w:eastAsia="Arial" w:hAnsi="Arial" w:cs="Arial"/>
          <w:color w:val="000000"/>
          <w:sz w:val="24"/>
          <w:szCs w:val="24"/>
        </w:rPr>
        <w:t>Persistent</w:t>
      </w:r>
      <w:r w:rsidRPr="008956FC">
        <w:rPr>
          <w:rFonts w:ascii="Arial" w:hAnsi="Arial"/>
          <w:color w:val="000000"/>
          <w:sz w:val="24"/>
        </w:rPr>
        <w:t xml:space="preserve"> Service Failure to occur, </w:t>
      </w:r>
    </w:p>
    <w:p w14:paraId="290B8C15" w14:textId="77777777" w:rsidR="006231A0" w:rsidRPr="008956FC" w:rsidRDefault="005D6FC8" w:rsidP="008956FC">
      <w:pPr>
        <w:pBdr>
          <w:top w:val="nil"/>
          <w:left w:val="nil"/>
          <w:bottom w:val="nil"/>
          <w:right w:val="nil"/>
          <w:between w:val="nil"/>
        </w:pBdr>
        <w:spacing w:before="120" w:after="120" w:line="240" w:lineRule="auto"/>
        <w:ind w:left="720" w:hanging="576"/>
        <w:rPr>
          <w:rFonts w:ascii="Arial" w:hAnsi="Arial"/>
          <w:color w:val="000000"/>
          <w:sz w:val="24"/>
        </w:rPr>
      </w:pPr>
      <w:r w:rsidRPr="008956FC">
        <w:rPr>
          <w:rFonts w:ascii="Arial" w:hAnsi="Arial"/>
          <w:color w:val="000000"/>
          <w:sz w:val="24"/>
        </w:rPr>
        <w:t>the Supplier shall immediately notify the Buyer in writing and the Buyer, in its absolute discretion and without limiting any other of its rights, may:</w:t>
      </w:r>
    </w:p>
    <w:p w14:paraId="3B09BBD9" w14:textId="50DDA969"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require the Supplier to immediately take all </w:t>
      </w:r>
      <w:r>
        <w:rPr>
          <w:rFonts w:ascii="Arial" w:eastAsia="Arial" w:hAnsi="Arial" w:cs="Arial"/>
          <w:color w:val="000000"/>
          <w:sz w:val="24"/>
          <w:szCs w:val="24"/>
        </w:rPr>
        <w:t xml:space="preserve">preventative and/or </w:t>
      </w:r>
      <w:r w:rsidRPr="008956FC">
        <w:rPr>
          <w:rFonts w:ascii="Arial" w:hAnsi="Arial"/>
          <w:color w:val="000000"/>
          <w:sz w:val="24"/>
        </w:rPr>
        <w:t xml:space="preserve">remedial action that is reasonable to mitigate the impact on the Buyer and to rectify or prevent a </w:t>
      </w:r>
      <w:r>
        <w:rPr>
          <w:rFonts w:ascii="Arial" w:eastAsia="Arial" w:hAnsi="Arial" w:cs="Arial"/>
          <w:color w:val="000000"/>
          <w:sz w:val="24"/>
          <w:szCs w:val="24"/>
        </w:rPr>
        <w:t>KPI</w:t>
      </w:r>
      <w:r w:rsidRPr="008956FC">
        <w:rPr>
          <w:rFonts w:ascii="Arial" w:hAnsi="Arial"/>
          <w:color w:val="000000"/>
          <w:sz w:val="24"/>
        </w:rPr>
        <w:t xml:space="preserve"> Failure or </w:t>
      </w:r>
      <w:r>
        <w:rPr>
          <w:rFonts w:ascii="Arial" w:eastAsia="Arial" w:hAnsi="Arial" w:cs="Arial"/>
          <w:color w:val="000000"/>
          <w:sz w:val="24"/>
          <w:szCs w:val="24"/>
        </w:rPr>
        <w:t>Persistent KPI</w:t>
      </w:r>
      <w:r w:rsidRPr="008956FC">
        <w:rPr>
          <w:rFonts w:ascii="Arial" w:hAnsi="Arial"/>
          <w:color w:val="000000"/>
          <w:sz w:val="24"/>
        </w:rPr>
        <w:t xml:space="preserve"> Failure from taking place or recurring; </w:t>
      </w:r>
    </w:p>
    <w:p w14:paraId="7F7852D6" w14:textId="77777777"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instruct the Supplier to comply with the Rectification Plan Process; </w:t>
      </w:r>
    </w:p>
    <w:p w14:paraId="460EE83C" w14:textId="6C73335F"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if a </w:t>
      </w:r>
      <w:r>
        <w:rPr>
          <w:rFonts w:ascii="Arial" w:eastAsia="Arial" w:hAnsi="Arial" w:cs="Arial"/>
          <w:color w:val="000000"/>
          <w:sz w:val="24"/>
          <w:szCs w:val="24"/>
        </w:rPr>
        <w:t>KPI</w:t>
      </w:r>
      <w:r w:rsidRPr="008956FC">
        <w:rPr>
          <w:rFonts w:ascii="Arial" w:hAnsi="Arial"/>
          <w:color w:val="000000"/>
          <w:sz w:val="24"/>
        </w:rPr>
        <w:t xml:space="preserve"> Failure has occurred, deduct the applicable </w:t>
      </w:r>
      <w:r>
        <w:rPr>
          <w:rFonts w:ascii="Arial" w:eastAsia="Arial" w:hAnsi="Arial" w:cs="Arial"/>
          <w:color w:val="000000"/>
          <w:sz w:val="24"/>
          <w:szCs w:val="24"/>
        </w:rPr>
        <w:t>KPI</w:t>
      </w:r>
      <w:r w:rsidRPr="008956FC">
        <w:rPr>
          <w:rFonts w:ascii="Arial" w:hAnsi="Arial"/>
          <w:color w:val="000000"/>
          <w:sz w:val="24"/>
        </w:rPr>
        <w:t xml:space="preserve"> Credits payable by the Supplier to the Buyer; and/or</w:t>
      </w:r>
    </w:p>
    <w:p w14:paraId="44F00F74" w14:textId="3F8D8F8A"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if a </w:t>
      </w:r>
      <w:r>
        <w:rPr>
          <w:rFonts w:ascii="Arial" w:eastAsia="Arial" w:hAnsi="Arial" w:cs="Arial"/>
          <w:color w:val="000000"/>
          <w:sz w:val="24"/>
          <w:szCs w:val="24"/>
        </w:rPr>
        <w:t>Persistent KPI</w:t>
      </w:r>
      <w:r w:rsidRPr="008956FC">
        <w:rPr>
          <w:rFonts w:ascii="Arial" w:hAnsi="Arial"/>
          <w:color w:val="000000"/>
          <w:sz w:val="24"/>
        </w:rPr>
        <w:t xml:space="preserve"> Failure has occurred, exercise its right to Compensation for </w:t>
      </w:r>
      <w:r>
        <w:rPr>
          <w:rFonts w:ascii="Arial" w:eastAsia="Arial" w:hAnsi="Arial" w:cs="Arial"/>
          <w:color w:val="000000"/>
          <w:sz w:val="24"/>
          <w:szCs w:val="24"/>
        </w:rPr>
        <w:t>Persistent KPI</w:t>
      </w:r>
      <w:r w:rsidRPr="008956FC">
        <w:rPr>
          <w:rFonts w:ascii="Arial" w:hAnsi="Arial"/>
          <w:color w:val="000000"/>
          <w:sz w:val="24"/>
        </w:rPr>
        <w:t xml:space="preserve"> Failure (including the right to terminate for material Default).</w:t>
      </w:r>
    </w:p>
    <w:p w14:paraId="488D9DD2" w14:textId="34C8659E" w:rsidR="006231A0" w:rsidRPr="008956FC" w:rsidRDefault="005D6FC8" w:rsidP="008956FC">
      <w:pPr>
        <w:numPr>
          <w:ilvl w:val="0"/>
          <w:numId w:val="1"/>
        </w:numPr>
        <w:pBdr>
          <w:top w:val="nil"/>
          <w:left w:val="nil"/>
          <w:bottom w:val="nil"/>
          <w:right w:val="nil"/>
          <w:between w:val="nil"/>
        </w:pBdr>
        <w:tabs>
          <w:tab w:val="left" w:pos="142"/>
        </w:tabs>
        <w:spacing w:before="240" w:after="120" w:line="240" w:lineRule="auto"/>
        <w:rPr>
          <w:rFonts w:ascii="Arial" w:hAnsi="Arial"/>
          <w:caps/>
          <w:color w:val="000000"/>
          <w:sz w:val="24"/>
        </w:rPr>
      </w:pPr>
      <w:r>
        <w:rPr>
          <w:rFonts w:ascii="Arial" w:eastAsia="Arial" w:hAnsi="Arial" w:cs="Arial"/>
          <w:b/>
          <w:color w:val="000000"/>
          <w:sz w:val="24"/>
          <w:szCs w:val="24"/>
        </w:rPr>
        <w:t>KPI</w:t>
      </w:r>
      <w:r w:rsidRPr="008956FC">
        <w:rPr>
          <w:rFonts w:ascii="Arial" w:hAnsi="Arial" w:hint="eastAsia"/>
          <w:b/>
          <w:color w:val="000000"/>
          <w:sz w:val="24"/>
        </w:rPr>
        <w:t xml:space="preserve"> Credits</w:t>
      </w:r>
    </w:p>
    <w:p w14:paraId="7BEC6278" w14:textId="06EF38FE" w:rsidR="006231A0" w:rsidRPr="008956FC" w:rsidRDefault="005D6FC8" w:rsidP="008956FC">
      <w:pPr>
        <w:numPr>
          <w:ilvl w:val="1"/>
          <w:numId w:val="1"/>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Buyer shall use the Performance Monitoring Reports supplied by the Supplier to verify the calculation and accuracy of the </w:t>
      </w:r>
      <w:r>
        <w:rPr>
          <w:rFonts w:ascii="Arial" w:eastAsia="Arial" w:hAnsi="Arial" w:cs="Arial"/>
          <w:color w:val="000000"/>
          <w:sz w:val="24"/>
          <w:szCs w:val="24"/>
        </w:rPr>
        <w:t>KPI</w:t>
      </w:r>
      <w:r w:rsidRPr="008956FC">
        <w:rPr>
          <w:rFonts w:ascii="Arial" w:hAnsi="Arial"/>
          <w:color w:val="000000"/>
          <w:sz w:val="24"/>
        </w:rPr>
        <w:t xml:space="preserve"> Credits, if any, applicable to each Service Period.</w:t>
      </w:r>
    </w:p>
    <w:p w14:paraId="368A85FD" w14:textId="29AA2D31" w:rsidR="006231A0" w:rsidRDefault="005D6FC8" w:rsidP="008956FC">
      <w:pPr>
        <w:numPr>
          <w:ilvl w:val="1"/>
          <w:numId w:val="1"/>
        </w:numPr>
        <w:pBdr>
          <w:top w:val="nil"/>
          <w:left w:val="nil"/>
          <w:bottom w:val="nil"/>
          <w:right w:val="nil"/>
          <w:between w:val="nil"/>
        </w:pBdr>
        <w:spacing w:before="120" w:after="120" w:line="240" w:lineRule="auto"/>
        <w:rPr>
          <w:rFonts w:ascii="Arial" w:eastAsia="Arial" w:hAnsi="Arial"/>
          <w:sz w:val="24"/>
          <w:szCs w:val="24"/>
        </w:rPr>
      </w:pPr>
      <w:r>
        <w:rPr>
          <w:rFonts w:ascii="Arial" w:eastAsia="Arial" w:hAnsi="Arial" w:cs="Arial"/>
          <w:color w:val="000000"/>
          <w:sz w:val="24"/>
          <w:szCs w:val="24"/>
        </w:rPr>
        <w:t>KPI</w:t>
      </w:r>
      <w:r w:rsidRPr="008956FC">
        <w:rPr>
          <w:rFonts w:ascii="Arial" w:hAnsi="Arial"/>
          <w:color w:val="000000"/>
          <w:sz w:val="24"/>
        </w:rPr>
        <w:t xml:space="preserve"> Credits are a reduction of the amounts payable in respect of the Deliverables and do not include VAT. The Supplier shall </w:t>
      </w:r>
      <w:r>
        <w:rPr>
          <w:rFonts w:ascii="Arial" w:eastAsia="Arial" w:hAnsi="Arial" w:cs="Arial"/>
          <w:sz w:val="24"/>
          <w:szCs w:val="24"/>
        </w:rPr>
        <w:t>off set</w:t>
      </w:r>
      <w:r>
        <w:rPr>
          <w:rFonts w:ascii="Arial" w:eastAsia="Arial" w:hAnsi="Arial" w:cs="Arial"/>
          <w:color w:val="000000"/>
          <w:sz w:val="24"/>
          <w:szCs w:val="24"/>
        </w:rPr>
        <w:t xml:space="preserve"> </w:t>
      </w:r>
      <w:r w:rsidRPr="008956FC">
        <w:rPr>
          <w:rFonts w:ascii="Arial" w:hAnsi="Arial"/>
          <w:color w:val="000000"/>
          <w:sz w:val="24"/>
        </w:rPr>
        <w:t xml:space="preserve">the value of any </w:t>
      </w:r>
      <w:r>
        <w:rPr>
          <w:rFonts w:ascii="Arial" w:eastAsia="Arial" w:hAnsi="Arial" w:cs="Arial"/>
          <w:color w:val="000000"/>
          <w:sz w:val="24"/>
          <w:szCs w:val="24"/>
        </w:rPr>
        <w:t>KPI</w:t>
      </w:r>
      <w:r w:rsidRPr="008956FC">
        <w:rPr>
          <w:rFonts w:ascii="Arial" w:hAnsi="Arial"/>
          <w:color w:val="000000"/>
          <w:sz w:val="24"/>
        </w:rPr>
        <w:t xml:space="preserve"> Credits against the appropriate invoice in accordance with </w:t>
      </w:r>
      <w:r>
        <w:rPr>
          <w:rFonts w:ascii="Arial" w:eastAsia="Arial" w:hAnsi="Arial" w:cs="Arial"/>
          <w:sz w:val="24"/>
          <w:szCs w:val="24"/>
        </w:rPr>
        <w:t xml:space="preserve">the relevant </w:t>
      </w:r>
      <w:r w:rsidRPr="008956FC">
        <w:rPr>
          <w:rFonts w:ascii="Arial" w:hAnsi="Arial"/>
          <w:color w:val="000000"/>
          <w:sz w:val="24"/>
        </w:rPr>
        <w:t xml:space="preserve">calculation formula </w:t>
      </w:r>
      <w:r>
        <w:rPr>
          <w:rFonts w:ascii="Arial" w:eastAsia="Arial" w:hAnsi="Arial" w:cs="Arial"/>
          <w:color w:val="000000"/>
          <w:sz w:val="24"/>
          <w:szCs w:val="24"/>
        </w:rPr>
        <w:t>below</w:t>
      </w:r>
      <w:r>
        <w:rPr>
          <w:rFonts w:ascii="Arial" w:eastAsia="Arial" w:hAnsi="Arial" w:cs="Arial"/>
          <w:sz w:val="24"/>
          <w:szCs w:val="24"/>
        </w:rPr>
        <w:t xml:space="preserve">. </w:t>
      </w:r>
    </w:p>
    <w:p w14:paraId="7B430011" w14:textId="00946E8C"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8" w:name="_heading=h.17dp8vu" w:colFirst="0" w:colLast="0"/>
      <w:bookmarkEnd w:id="8"/>
      <w:r>
        <w:rPr>
          <w:rFonts w:ascii="Arial" w:eastAsia="Arial" w:hAnsi="Arial" w:cs="Arial"/>
          <w:b/>
          <w:color w:val="000000"/>
          <w:sz w:val="24"/>
          <w:szCs w:val="24"/>
        </w:rPr>
        <w:t>KPI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14:paraId="54667F1D"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9" w:name="_heading=h.3rdcrjn" w:colFirst="0" w:colLast="0"/>
      <w:bookmarkEnd w:id="9"/>
      <w:r>
        <w:rPr>
          <w:rFonts w:ascii="Arial" w:eastAsia="Arial" w:hAnsi="Arial" w:cs="Arial"/>
          <w:color w:val="000000"/>
          <w:sz w:val="24"/>
          <w:szCs w:val="24"/>
        </w:rPr>
        <w:t>At Risk Amount</w:t>
      </w:r>
    </w:p>
    <w:p w14:paraId="7B276DF3"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0" w:name="_heading=h.26in1rg" w:colFirst="0" w:colLast="0"/>
      <w:bookmarkEnd w:id="10"/>
      <w:r>
        <w:rPr>
          <w:rFonts w:ascii="Arial" w:eastAsia="Arial" w:hAnsi="Arial" w:cs="Arial"/>
          <w:color w:val="000000"/>
          <w:sz w:val="24"/>
          <w:szCs w:val="24"/>
        </w:rPr>
        <w:t xml:space="preserve">For a Service Period, the At Risk Amount shall be calculated in accordance with Section 2 - Calculation of Monthly Value at Risk, of the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Calc Overview tab of the </w:t>
      </w:r>
      <w:r>
        <w:rPr>
          <w:rFonts w:ascii="Arial" w:eastAsia="Arial" w:hAnsi="Arial" w:cs="Arial"/>
          <w:color w:val="222222"/>
          <w:sz w:val="24"/>
          <w:szCs w:val="24"/>
          <w:highlight w:val="white"/>
        </w:rPr>
        <w:t xml:space="preserve">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14:paraId="32B1EB21"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lnxbz9" w:colFirst="0" w:colLast="0"/>
      <w:bookmarkEnd w:id="11"/>
      <w:r>
        <w:rPr>
          <w:rFonts w:ascii="Arial" w:eastAsia="Arial" w:hAnsi="Arial" w:cs="Arial"/>
          <w:color w:val="000000"/>
          <w:sz w:val="24"/>
          <w:szCs w:val="24"/>
        </w:rPr>
        <w:t xml:space="preserve">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w:t>
      </w:r>
    </w:p>
    <w:p w14:paraId="6E962189"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shall be calculated as follows: for each KPI Category, the At Risk Amount shall be apportioned to it in accordance with the KPI Category Weightings in the column headed KPI Weighting in the KPI Table 2 of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p w14:paraId="109168BA"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2" w:name="_heading=h.35nkun2" w:colFirst="0" w:colLast="0"/>
      <w:bookmarkEnd w:id="12"/>
      <w:r>
        <w:rPr>
          <w:rFonts w:ascii="Arial" w:eastAsia="Arial" w:hAnsi="Arial" w:cs="Arial"/>
          <w:color w:val="000000"/>
          <w:sz w:val="24"/>
          <w:szCs w:val="24"/>
        </w:rPr>
        <w:t xml:space="preserve">KPI At Risk Amount </w:t>
      </w:r>
    </w:p>
    <w:p w14:paraId="356B6709"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At Risk Amount shall be calculated as follows: the 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that applies to the KPI Category in which the relevant KPI resides, shall be further apportioned in accordance with the KPI Measure Weightings in the column </w:t>
      </w:r>
      <w:r>
        <w:rPr>
          <w:rFonts w:ascii="Arial" w:eastAsia="Arial" w:hAnsi="Arial" w:cs="Arial"/>
          <w:color w:val="000000"/>
          <w:sz w:val="24"/>
          <w:szCs w:val="24"/>
        </w:rPr>
        <w:lastRenderedPageBreak/>
        <w:t xml:space="preserve">headed </w:t>
      </w:r>
      <w:r>
        <w:rPr>
          <w:rFonts w:ascii="Arial" w:eastAsia="Arial" w:hAnsi="Arial" w:cs="Arial"/>
          <w:color w:val="222222"/>
          <w:sz w:val="24"/>
          <w:szCs w:val="24"/>
          <w:highlight w:val="white"/>
        </w:rPr>
        <w:t xml:space="preserve">Measure Weighting in Table 3. Measures of the KPI Measures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p>
    <w:p w14:paraId="745C9856"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KPI Credit </w:t>
      </w:r>
    </w:p>
    <w:p w14:paraId="1F4D13CE"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Credit to be applied to a KPI in a Service Period for a KPI Failure shall be calculated in accordance with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by:</w:t>
      </w:r>
    </w:p>
    <w:p w14:paraId="6AFD835A" w14:textId="77777777" w:rsidR="006231A0" w:rsidRDefault="005D6FC8">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deducting from 100% the actual standard of performance (as a percentage, calculated using the Scoring Scales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achieved by the Supplier against the KPI Performance Measure in that Service Period; and </w:t>
      </w:r>
    </w:p>
    <w:p w14:paraId="1AA4F268" w14:textId="77777777" w:rsidR="006231A0" w:rsidRDefault="005D6FC8">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multiplying the resultant percentage by the KPI At Risk Amount.</w:t>
      </w:r>
    </w:p>
    <w:p w14:paraId="44F44A09" w14:textId="77777777"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3" w:name="_heading=h.1ksv4uv" w:colFirst="0" w:colLast="0"/>
      <w:bookmarkEnd w:id="13"/>
      <w:r>
        <w:rPr>
          <w:rFonts w:ascii="Arial" w:eastAsia="Arial" w:hAnsi="Arial" w:cs="Arial"/>
          <w:b/>
          <w:color w:val="000000"/>
        </w:rPr>
        <w:t>KPI Credit Ratchet</w:t>
      </w:r>
    </w:p>
    <w:p w14:paraId="6AC91555"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44sinio" w:colFirst="0" w:colLast="0"/>
      <w:bookmarkEnd w:id="14"/>
      <w:r>
        <w:rPr>
          <w:rFonts w:ascii="Arial" w:eastAsia="Arial" w:hAnsi="Arial" w:cs="Arial"/>
          <w:color w:val="000000"/>
          <w:sz w:val="24"/>
          <w:szCs w:val="24"/>
        </w:rPr>
        <w:t>A ratchet will apply to the calculation of KPI Credits for frequent and repeated KPI Failures (</w:t>
      </w:r>
      <w:r>
        <w:rPr>
          <w:rFonts w:ascii="Arial" w:eastAsia="Arial" w:hAnsi="Arial" w:cs="Arial"/>
          <w:b/>
          <w:color w:val="000000"/>
          <w:sz w:val="24"/>
          <w:szCs w:val="24"/>
        </w:rPr>
        <w:t>"Ratchet"</w:t>
      </w:r>
      <w:r>
        <w:rPr>
          <w:rFonts w:ascii="Arial" w:eastAsia="Arial" w:hAnsi="Arial" w:cs="Arial"/>
          <w:color w:val="000000"/>
          <w:sz w:val="24"/>
          <w:szCs w:val="24"/>
        </w:rPr>
        <w:t>).</w:t>
      </w:r>
    </w:p>
    <w:p w14:paraId="3F444475"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Ratchet will be applied to the calculation of KPI Credits if one or both of the following circumstances occur:</w:t>
      </w:r>
    </w:p>
    <w:p w14:paraId="3903099B"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consecutive Service Periods; and</w:t>
      </w:r>
    </w:p>
    <w:p w14:paraId="449455A0"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any four (4) or more of the immediately preceding twelve (12) Service Periods.</w:t>
      </w:r>
    </w:p>
    <w:p w14:paraId="09A5BE8F"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value of the Ratchet and when it is to be applied pursuant to Paragraph 4.2, </w:t>
      </w:r>
      <w:r>
        <w:rPr>
          <w:rFonts w:ascii="Arial" w:eastAsia="Arial" w:hAnsi="Arial" w:cs="Arial"/>
          <w:color w:val="222222"/>
          <w:sz w:val="24"/>
          <w:szCs w:val="24"/>
          <w:highlight w:val="white"/>
        </w:rPr>
        <w:t xml:space="preserve">is set out in the Perf </w:t>
      </w:r>
      <w:proofErr w:type="spellStart"/>
      <w:r>
        <w:rPr>
          <w:rFonts w:ascii="Arial" w:eastAsia="Arial" w:hAnsi="Arial" w:cs="Arial"/>
          <w:color w:val="222222"/>
          <w:sz w:val="24"/>
          <w:szCs w:val="24"/>
          <w:highlight w:val="white"/>
        </w:rPr>
        <w:t>Ded_Adj</w:t>
      </w:r>
      <w:proofErr w:type="spellEnd"/>
      <w:r>
        <w:rPr>
          <w:rFonts w:ascii="Arial" w:eastAsia="Arial" w:hAnsi="Arial" w:cs="Arial"/>
          <w:color w:val="222222"/>
          <w:sz w:val="24"/>
          <w:szCs w:val="24"/>
          <w:highlight w:val="white"/>
        </w:rPr>
        <w:t xml:space="preserve"> and </w:t>
      </w:r>
      <w:proofErr w:type="spellStart"/>
      <w:r>
        <w:rPr>
          <w:rFonts w:ascii="Arial" w:eastAsia="Arial" w:hAnsi="Arial" w:cs="Arial"/>
          <w:color w:val="222222"/>
          <w:sz w:val="24"/>
          <w:szCs w:val="24"/>
          <w:highlight w:val="white"/>
        </w:rPr>
        <w:t>Earnback</w:t>
      </w:r>
      <w:proofErr w:type="spellEnd"/>
      <w:r>
        <w:rPr>
          <w:rFonts w:ascii="Arial" w:eastAsia="Arial" w:hAnsi="Arial" w:cs="Arial"/>
          <w:color w:val="222222"/>
          <w:sz w:val="24"/>
          <w:szCs w:val="24"/>
          <w:highlight w:val="white"/>
        </w:rPr>
        <w:t xml:space="preserve"> Calc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14:paraId="368C28D9"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When the Ratchet is to be applied, the relevant KPI Credit shall be the number of KPI Credits that would normally accrue for an initial KPI Failure multiplied by the value of the Ratchet, for example:</w:t>
      </w:r>
    </w:p>
    <w:p w14:paraId="3A07EFD0"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(refer to table 1 in 4.4.3); and</w:t>
      </w:r>
    </w:p>
    <w:p w14:paraId="5D87D661"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a KPI Failure in respect of any one or more KPIs comprised in the same KPI Category occurs in any four (4) Service Periods in the immediately preceding twelve (12) Service Periods, the KPI Credits for each of the KPI Failures in that fourth Service Period </w:t>
      </w:r>
      <w:r>
        <w:rPr>
          <w:rFonts w:ascii="Arial" w:eastAsia="Arial" w:hAnsi="Arial" w:cs="Arial"/>
          <w:color w:val="000000"/>
          <w:sz w:val="24"/>
          <w:szCs w:val="24"/>
        </w:rPr>
        <w:lastRenderedPageBreak/>
        <w:t>will be 1.75 times the KPI Credit that would have been applicable to them for an initial KPI Failure (refer to table 1 in 4.4.3).</w:t>
      </w:r>
    </w:p>
    <w:p w14:paraId="3F381C95"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Illustration of Ratchets to be applied in table form;</w:t>
      </w:r>
    </w:p>
    <w:tbl>
      <w:tblPr>
        <w:tblStyle w:val="affd"/>
        <w:tblW w:w="7653" w:type="dxa"/>
        <w:tblInd w:w="1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gridCol w:w="1843"/>
        <w:gridCol w:w="1842"/>
        <w:gridCol w:w="2268"/>
      </w:tblGrid>
      <w:tr w:rsidR="006231A0" w14:paraId="343D9623" w14:textId="77777777">
        <w:trPr>
          <w:trHeight w:val="840"/>
        </w:trPr>
        <w:tc>
          <w:tcPr>
            <w:tcW w:w="1700" w:type="dxa"/>
            <w:tcBorders>
              <w:top w:val="single" w:sz="8" w:space="0" w:color="000000"/>
              <w:left w:val="single" w:sz="8" w:space="0" w:color="000000"/>
              <w:bottom w:val="single" w:sz="4" w:space="0" w:color="000000"/>
              <w:right w:val="single" w:sz="4" w:space="0" w:color="000000"/>
            </w:tcBorders>
            <w:shd w:val="clear" w:color="auto" w:fill="auto"/>
            <w:vAlign w:val="center"/>
          </w:tcPr>
          <w:p w14:paraId="66AD55B2" w14:textId="77777777" w:rsidR="006231A0" w:rsidRDefault="005D6FC8">
            <w:pPr>
              <w:rPr>
                <w:rFonts w:ascii="Arial" w:eastAsia="Arial" w:hAnsi="Arial" w:cs="Arial"/>
                <w:b/>
                <w:color w:val="000000"/>
              </w:rPr>
            </w:pPr>
            <w:r>
              <w:rPr>
                <w:rFonts w:ascii="Arial" w:eastAsia="Arial" w:hAnsi="Arial" w:cs="Arial"/>
                <w:b/>
                <w:color w:val="000000"/>
              </w:rPr>
              <w:t>Table 1: RATCHET OPTIONS</w:t>
            </w:r>
          </w:p>
        </w:tc>
        <w:tc>
          <w:tcPr>
            <w:tcW w:w="1843" w:type="dxa"/>
            <w:tcBorders>
              <w:top w:val="single" w:sz="8" w:space="0" w:color="000000"/>
              <w:left w:val="nil"/>
              <w:bottom w:val="single" w:sz="4" w:space="0" w:color="000000"/>
              <w:right w:val="single" w:sz="4" w:space="0" w:color="000000"/>
            </w:tcBorders>
            <w:shd w:val="clear" w:color="auto" w:fill="auto"/>
            <w:vAlign w:val="center"/>
          </w:tcPr>
          <w:p w14:paraId="22BD7824" w14:textId="77777777" w:rsidR="006231A0" w:rsidRDefault="005D6FC8">
            <w:pPr>
              <w:jc w:val="center"/>
              <w:rPr>
                <w:rFonts w:ascii="Arial" w:eastAsia="Arial" w:hAnsi="Arial" w:cs="Arial"/>
                <w:b/>
                <w:color w:val="000000"/>
              </w:rPr>
            </w:pPr>
            <w:r>
              <w:rPr>
                <w:rFonts w:ascii="Arial" w:eastAsia="Arial" w:hAnsi="Arial" w:cs="Arial"/>
                <w:b/>
                <w:color w:val="000000"/>
              </w:rPr>
              <w:t>Ratchet Value</w:t>
            </w:r>
          </w:p>
        </w:tc>
        <w:tc>
          <w:tcPr>
            <w:tcW w:w="1842" w:type="dxa"/>
            <w:tcBorders>
              <w:top w:val="single" w:sz="8" w:space="0" w:color="000000"/>
              <w:left w:val="nil"/>
              <w:bottom w:val="single" w:sz="4" w:space="0" w:color="000000"/>
              <w:right w:val="single" w:sz="4" w:space="0" w:color="000000"/>
            </w:tcBorders>
            <w:shd w:val="clear" w:color="auto" w:fill="auto"/>
            <w:vAlign w:val="center"/>
          </w:tcPr>
          <w:p w14:paraId="59B6B4D3" w14:textId="77777777" w:rsidR="006231A0" w:rsidRDefault="005D6FC8">
            <w:pPr>
              <w:jc w:val="center"/>
              <w:rPr>
                <w:rFonts w:ascii="Arial" w:eastAsia="Arial" w:hAnsi="Arial" w:cs="Arial"/>
                <w:b/>
                <w:color w:val="000000"/>
              </w:rPr>
            </w:pPr>
            <w:r>
              <w:rPr>
                <w:rFonts w:ascii="Arial" w:eastAsia="Arial" w:hAnsi="Arial" w:cs="Arial"/>
                <w:b/>
                <w:color w:val="000000"/>
              </w:rPr>
              <w:t>Consecutive Failure</w:t>
            </w:r>
          </w:p>
        </w:tc>
        <w:tc>
          <w:tcPr>
            <w:tcW w:w="2268" w:type="dxa"/>
            <w:tcBorders>
              <w:top w:val="single" w:sz="8" w:space="0" w:color="000000"/>
              <w:left w:val="nil"/>
              <w:bottom w:val="single" w:sz="4" w:space="0" w:color="000000"/>
              <w:right w:val="single" w:sz="8" w:space="0" w:color="000000"/>
            </w:tcBorders>
            <w:shd w:val="clear" w:color="auto" w:fill="auto"/>
            <w:vAlign w:val="center"/>
          </w:tcPr>
          <w:p w14:paraId="5143E1E3" w14:textId="77777777" w:rsidR="006231A0" w:rsidRDefault="005D6FC8">
            <w:pPr>
              <w:jc w:val="center"/>
              <w:rPr>
                <w:rFonts w:ascii="Arial" w:eastAsia="Arial" w:hAnsi="Arial" w:cs="Arial"/>
                <w:b/>
                <w:color w:val="000000"/>
              </w:rPr>
            </w:pPr>
            <w:r>
              <w:rPr>
                <w:rFonts w:ascii="Arial" w:eastAsia="Arial" w:hAnsi="Arial" w:cs="Arial"/>
                <w:b/>
                <w:color w:val="000000"/>
              </w:rPr>
              <w:t>Failure over a 12 Month Rolling Period</w:t>
            </w:r>
          </w:p>
        </w:tc>
      </w:tr>
      <w:tr w:rsidR="006231A0" w14:paraId="51E612AC" w14:textId="77777777">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14:paraId="39B579EF" w14:textId="77777777" w:rsidR="006231A0" w:rsidRDefault="005D6FC8">
            <w:pPr>
              <w:rPr>
                <w:rFonts w:ascii="Arial" w:eastAsia="Arial" w:hAnsi="Arial" w:cs="Arial"/>
                <w:color w:val="000000"/>
              </w:rPr>
            </w:pPr>
            <w:r>
              <w:rPr>
                <w:rFonts w:ascii="Arial" w:eastAsia="Arial" w:hAnsi="Arial" w:cs="Arial"/>
                <w:color w:val="000000"/>
              </w:rPr>
              <w:t>Default</w:t>
            </w:r>
          </w:p>
        </w:tc>
        <w:tc>
          <w:tcPr>
            <w:tcW w:w="1843" w:type="dxa"/>
            <w:tcBorders>
              <w:top w:val="nil"/>
              <w:left w:val="nil"/>
              <w:bottom w:val="single" w:sz="4" w:space="0" w:color="000000"/>
              <w:right w:val="single" w:sz="4" w:space="0" w:color="000000"/>
            </w:tcBorders>
            <w:shd w:val="clear" w:color="auto" w:fill="auto"/>
            <w:vAlign w:val="center"/>
          </w:tcPr>
          <w:p w14:paraId="021388AA" w14:textId="77777777" w:rsidR="006231A0" w:rsidRDefault="005D6FC8">
            <w:pPr>
              <w:jc w:val="center"/>
              <w:rPr>
                <w:rFonts w:ascii="Arial" w:eastAsia="Arial" w:hAnsi="Arial" w:cs="Arial"/>
                <w:color w:val="000000"/>
              </w:rPr>
            </w:pPr>
            <w:r>
              <w:rPr>
                <w:rFonts w:ascii="Arial" w:eastAsia="Arial" w:hAnsi="Arial" w:cs="Arial"/>
                <w:color w:val="000000"/>
              </w:rPr>
              <w:t>1</w:t>
            </w: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426E9622" w14:textId="77777777" w:rsidR="006231A0" w:rsidRDefault="005D6FC8">
            <w:pPr>
              <w:jc w:val="center"/>
              <w:rPr>
                <w:rFonts w:ascii="Arial" w:eastAsia="Arial" w:hAnsi="Arial" w:cs="Arial"/>
                <w:color w:val="000000"/>
              </w:rPr>
            </w:pPr>
            <w:r>
              <w:rPr>
                <w:rFonts w:ascii="Arial" w:eastAsia="Arial" w:hAnsi="Arial" w:cs="Arial"/>
                <w:color w:val="000000"/>
              </w:rPr>
              <w:t> </w:t>
            </w:r>
          </w:p>
        </w:tc>
        <w:tc>
          <w:tcPr>
            <w:tcW w:w="2268" w:type="dxa"/>
            <w:tcBorders>
              <w:top w:val="single" w:sz="4" w:space="0" w:color="000000"/>
              <w:left w:val="nil"/>
              <w:bottom w:val="single" w:sz="4" w:space="0" w:color="000000"/>
              <w:right w:val="single" w:sz="8" w:space="0" w:color="000000"/>
            </w:tcBorders>
            <w:shd w:val="clear" w:color="auto" w:fill="auto"/>
            <w:vAlign w:val="center"/>
          </w:tcPr>
          <w:p w14:paraId="27826EEC" w14:textId="77777777" w:rsidR="006231A0" w:rsidRDefault="005D6FC8">
            <w:pPr>
              <w:jc w:val="center"/>
              <w:rPr>
                <w:rFonts w:ascii="Arial" w:eastAsia="Arial" w:hAnsi="Arial" w:cs="Arial"/>
                <w:color w:val="000000"/>
              </w:rPr>
            </w:pPr>
            <w:r>
              <w:rPr>
                <w:rFonts w:ascii="Arial" w:eastAsia="Arial" w:hAnsi="Arial" w:cs="Arial"/>
                <w:color w:val="000000"/>
              </w:rPr>
              <w:t> </w:t>
            </w:r>
          </w:p>
        </w:tc>
      </w:tr>
      <w:tr w:rsidR="006231A0" w14:paraId="01E0BEFC" w14:textId="77777777">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14:paraId="02674082" w14:textId="77777777" w:rsidR="006231A0" w:rsidRDefault="005D6FC8">
            <w:pPr>
              <w:rPr>
                <w:rFonts w:ascii="Arial" w:eastAsia="Arial" w:hAnsi="Arial" w:cs="Arial"/>
                <w:color w:val="000000"/>
              </w:rPr>
            </w:pPr>
            <w:r>
              <w:rPr>
                <w:rFonts w:ascii="Arial" w:eastAsia="Arial" w:hAnsi="Arial" w:cs="Arial"/>
                <w:color w:val="000000"/>
              </w:rPr>
              <w:t>Ratchet 1</w:t>
            </w:r>
          </w:p>
        </w:tc>
        <w:tc>
          <w:tcPr>
            <w:tcW w:w="1843" w:type="dxa"/>
            <w:tcBorders>
              <w:top w:val="nil"/>
              <w:left w:val="nil"/>
              <w:bottom w:val="single" w:sz="4" w:space="0" w:color="000000"/>
              <w:right w:val="single" w:sz="4" w:space="0" w:color="000000"/>
            </w:tcBorders>
            <w:shd w:val="clear" w:color="auto" w:fill="auto"/>
            <w:vAlign w:val="center"/>
          </w:tcPr>
          <w:p w14:paraId="4E225D8B" w14:textId="77777777" w:rsidR="006231A0" w:rsidRDefault="005D6FC8">
            <w:pPr>
              <w:jc w:val="center"/>
              <w:rPr>
                <w:rFonts w:ascii="Arial" w:eastAsia="Arial" w:hAnsi="Arial" w:cs="Arial"/>
                <w:color w:val="000000"/>
              </w:rPr>
            </w:pPr>
            <w:r>
              <w:rPr>
                <w:rFonts w:ascii="Arial" w:eastAsia="Arial" w:hAnsi="Arial" w:cs="Arial"/>
                <w:color w:val="000000"/>
              </w:rPr>
              <w:t>1.5</w:t>
            </w: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176B7EAF" w14:textId="77777777" w:rsidR="006231A0" w:rsidRDefault="005D6FC8">
            <w:pPr>
              <w:jc w:val="center"/>
              <w:rPr>
                <w:rFonts w:ascii="Arial" w:eastAsia="Arial" w:hAnsi="Arial" w:cs="Arial"/>
                <w:color w:val="000000"/>
              </w:rPr>
            </w:pPr>
            <w:r>
              <w:rPr>
                <w:rFonts w:ascii="Arial" w:eastAsia="Arial" w:hAnsi="Arial" w:cs="Arial"/>
                <w:color w:val="000000"/>
              </w:rPr>
              <w:t>2</w:t>
            </w:r>
          </w:p>
        </w:tc>
        <w:tc>
          <w:tcPr>
            <w:tcW w:w="2268" w:type="dxa"/>
            <w:tcBorders>
              <w:top w:val="single" w:sz="4" w:space="0" w:color="000000"/>
              <w:left w:val="nil"/>
              <w:bottom w:val="single" w:sz="4" w:space="0" w:color="000000"/>
              <w:right w:val="single" w:sz="8" w:space="0" w:color="000000"/>
            </w:tcBorders>
            <w:shd w:val="clear" w:color="auto" w:fill="auto"/>
            <w:vAlign w:val="center"/>
          </w:tcPr>
          <w:p w14:paraId="11E7BA3F" w14:textId="77777777" w:rsidR="006231A0" w:rsidRDefault="005D6FC8">
            <w:pPr>
              <w:jc w:val="center"/>
              <w:rPr>
                <w:rFonts w:ascii="Arial" w:eastAsia="Arial" w:hAnsi="Arial" w:cs="Arial"/>
                <w:color w:val="000000"/>
              </w:rPr>
            </w:pPr>
            <w:r>
              <w:rPr>
                <w:rFonts w:ascii="Arial" w:eastAsia="Arial" w:hAnsi="Arial" w:cs="Arial"/>
                <w:color w:val="000000"/>
              </w:rPr>
              <w:t>3</w:t>
            </w:r>
          </w:p>
        </w:tc>
      </w:tr>
      <w:tr w:rsidR="006231A0" w14:paraId="74E81FC6" w14:textId="77777777">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14:paraId="260B7096" w14:textId="77777777" w:rsidR="006231A0" w:rsidRDefault="005D6FC8">
            <w:pPr>
              <w:rPr>
                <w:rFonts w:ascii="Arial" w:eastAsia="Arial" w:hAnsi="Arial" w:cs="Arial"/>
                <w:color w:val="000000"/>
              </w:rPr>
            </w:pPr>
            <w:r>
              <w:rPr>
                <w:rFonts w:ascii="Arial" w:eastAsia="Arial" w:hAnsi="Arial" w:cs="Arial"/>
                <w:color w:val="000000"/>
              </w:rPr>
              <w:t>Ratchet 2</w:t>
            </w:r>
          </w:p>
        </w:tc>
        <w:tc>
          <w:tcPr>
            <w:tcW w:w="1843" w:type="dxa"/>
            <w:tcBorders>
              <w:top w:val="nil"/>
              <w:left w:val="nil"/>
              <w:bottom w:val="single" w:sz="4" w:space="0" w:color="000000"/>
              <w:right w:val="single" w:sz="4" w:space="0" w:color="000000"/>
            </w:tcBorders>
            <w:shd w:val="clear" w:color="auto" w:fill="auto"/>
            <w:vAlign w:val="center"/>
          </w:tcPr>
          <w:p w14:paraId="1FEAF653" w14:textId="77777777" w:rsidR="006231A0" w:rsidRDefault="005D6FC8">
            <w:pPr>
              <w:jc w:val="center"/>
              <w:rPr>
                <w:rFonts w:ascii="Arial" w:eastAsia="Arial" w:hAnsi="Arial" w:cs="Arial"/>
                <w:color w:val="000000"/>
              </w:rPr>
            </w:pPr>
            <w:r>
              <w:rPr>
                <w:rFonts w:ascii="Arial" w:eastAsia="Arial" w:hAnsi="Arial" w:cs="Arial"/>
                <w:color w:val="000000"/>
              </w:rPr>
              <w:t>1.75</w:t>
            </w: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13F891BE" w14:textId="77777777" w:rsidR="006231A0" w:rsidRDefault="005D6FC8">
            <w:pPr>
              <w:jc w:val="center"/>
              <w:rPr>
                <w:rFonts w:ascii="Arial" w:eastAsia="Arial" w:hAnsi="Arial" w:cs="Arial"/>
                <w:color w:val="000000"/>
              </w:rPr>
            </w:pPr>
            <w:r>
              <w:rPr>
                <w:rFonts w:ascii="Arial" w:eastAsia="Arial" w:hAnsi="Arial" w:cs="Arial"/>
                <w:color w:val="000000"/>
              </w:rPr>
              <w:t>3</w:t>
            </w:r>
          </w:p>
        </w:tc>
        <w:tc>
          <w:tcPr>
            <w:tcW w:w="2268" w:type="dxa"/>
            <w:tcBorders>
              <w:top w:val="single" w:sz="4" w:space="0" w:color="000000"/>
              <w:left w:val="nil"/>
              <w:bottom w:val="single" w:sz="4" w:space="0" w:color="000000"/>
              <w:right w:val="single" w:sz="8" w:space="0" w:color="000000"/>
            </w:tcBorders>
            <w:shd w:val="clear" w:color="auto" w:fill="auto"/>
            <w:vAlign w:val="center"/>
          </w:tcPr>
          <w:p w14:paraId="41FBD35B" w14:textId="77777777" w:rsidR="006231A0" w:rsidRDefault="005D6FC8">
            <w:pPr>
              <w:jc w:val="center"/>
              <w:rPr>
                <w:rFonts w:ascii="Arial" w:eastAsia="Arial" w:hAnsi="Arial" w:cs="Arial"/>
                <w:color w:val="000000"/>
              </w:rPr>
            </w:pPr>
            <w:r>
              <w:rPr>
                <w:rFonts w:ascii="Arial" w:eastAsia="Arial" w:hAnsi="Arial" w:cs="Arial"/>
                <w:color w:val="000000"/>
              </w:rPr>
              <w:t>4,5</w:t>
            </w:r>
          </w:p>
        </w:tc>
      </w:tr>
      <w:tr w:rsidR="006231A0" w14:paraId="544A0948" w14:textId="77777777">
        <w:trPr>
          <w:trHeight w:val="270"/>
        </w:trPr>
        <w:tc>
          <w:tcPr>
            <w:tcW w:w="1700" w:type="dxa"/>
            <w:tcBorders>
              <w:top w:val="nil"/>
              <w:left w:val="single" w:sz="8" w:space="0" w:color="000000"/>
              <w:bottom w:val="single" w:sz="8" w:space="0" w:color="000000"/>
              <w:right w:val="single" w:sz="4" w:space="0" w:color="000000"/>
            </w:tcBorders>
            <w:shd w:val="clear" w:color="auto" w:fill="auto"/>
            <w:vAlign w:val="center"/>
          </w:tcPr>
          <w:p w14:paraId="0817E758" w14:textId="77777777" w:rsidR="006231A0" w:rsidRDefault="005D6FC8">
            <w:pPr>
              <w:rPr>
                <w:rFonts w:ascii="Arial" w:eastAsia="Arial" w:hAnsi="Arial" w:cs="Arial"/>
                <w:color w:val="000000"/>
              </w:rPr>
            </w:pPr>
            <w:r>
              <w:rPr>
                <w:rFonts w:ascii="Arial" w:eastAsia="Arial" w:hAnsi="Arial" w:cs="Arial"/>
                <w:color w:val="000000"/>
              </w:rPr>
              <w:t>Ratchet 3</w:t>
            </w:r>
          </w:p>
        </w:tc>
        <w:tc>
          <w:tcPr>
            <w:tcW w:w="1843" w:type="dxa"/>
            <w:tcBorders>
              <w:top w:val="nil"/>
              <w:left w:val="nil"/>
              <w:bottom w:val="single" w:sz="8" w:space="0" w:color="000000"/>
              <w:right w:val="single" w:sz="4" w:space="0" w:color="000000"/>
            </w:tcBorders>
            <w:shd w:val="clear" w:color="auto" w:fill="auto"/>
            <w:vAlign w:val="center"/>
          </w:tcPr>
          <w:p w14:paraId="1812CA8D" w14:textId="77777777" w:rsidR="006231A0" w:rsidRDefault="005D6FC8">
            <w:pPr>
              <w:jc w:val="center"/>
              <w:rPr>
                <w:rFonts w:ascii="Arial" w:eastAsia="Arial" w:hAnsi="Arial" w:cs="Arial"/>
                <w:color w:val="000000"/>
              </w:rPr>
            </w:pPr>
            <w:r>
              <w:rPr>
                <w:rFonts w:ascii="Arial" w:eastAsia="Arial" w:hAnsi="Arial" w:cs="Arial"/>
                <w:color w:val="000000"/>
              </w:rPr>
              <w:t>2</w:t>
            </w:r>
          </w:p>
        </w:tc>
        <w:tc>
          <w:tcPr>
            <w:tcW w:w="1842" w:type="dxa"/>
            <w:tcBorders>
              <w:top w:val="single" w:sz="4" w:space="0" w:color="000000"/>
              <w:left w:val="nil"/>
              <w:bottom w:val="single" w:sz="8" w:space="0" w:color="000000"/>
              <w:right w:val="single" w:sz="4" w:space="0" w:color="000000"/>
            </w:tcBorders>
            <w:shd w:val="clear" w:color="auto" w:fill="auto"/>
            <w:vAlign w:val="center"/>
          </w:tcPr>
          <w:p w14:paraId="23F143D0" w14:textId="77777777" w:rsidR="006231A0" w:rsidRDefault="005D6FC8">
            <w:pPr>
              <w:jc w:val="center"/>
              <w:rPr>
                <w:rFonts w:ascii="Arial" w:eastAsia="Arial" w:hAnsi="Arial" w:cs="Arial"/>
                <w:color w:val="000000"/>
              </w:rPr>
            </w:pPr>
            <w:r>
              <w:rPr>
                <w:rFonts w:ascii="Arial" w:eastAsia="Arial" w:hAnsi="Arial" w:cs="Arial"/>
                <w:color w:val="000000"/>
              </w:rPr>
              <w:t>4</w:t>
            </w:r>
          </w:p>
        </w:tc>
        <w:tc>
          <w:tcPr>
            <w:tcW w:w="2268" w:type="dxa"/>
            <w:tcBorders>
              <w:top w:val="single" w:sz="4" w:space="0" w:color="000000"/>
              <w:left w:val="nil"/>
              <w:bottom w:val="single" w:sz="8" w:space="0" w:color="000000"/>
              <w:right w:val="single" w:sz="8" w:space="0" w:color="000000"/>
            </w:tcBorders>
            <w:shd w:val="clear" w:color="auto" w:fill="auto"/>
            <w:vAlign w:val="center"/>
          </w:tcPr>
          <w:p w14:paraId="79C34C10" w14:textId="77777777" w:rsidR="006231A0" w:rsidRDefault="005D6FC8">
            <w:pPr>
              <w:jc w:val="center"/>
              <w:rPr>
                <w:rFonts w:ascii="Arial" w:eastAsia="Arial" w:hAnsi="Arial" w:cs="Arial"/>
                <w:color w:val="000000"/>
              </w:rPr>
            </w:pPr>
            <w:r>
              <w:rPr>
                <w:rFonts w:ascii="Arial" w:eastAsia="Arial" w:hAnsi="Arial" w:cs="Arial"/>
                <w:color w:val="000000"/>
              </w:rPr>
              <w:t>6,7,8,9,10,11,12</w:t>
            </w:r>
          </w:p>
        </w:tc>
      </w:tr>
    </w:tbl>
    <w:p w14:paraId="3752F895" w14:textId="77777777" w:rsidR="006231A0" w:rsidRDefault="006231A0">
      <w:pPr>
        <w:pBdr>
          <w:top w:val="nil"/>
          <w:left w:val="nil"/>
          <w:bottom w:val="nil"/>
          <w:right w:val="nil"/>
          <w:between w:val="nil"/>
        </w:pBdr>
        <w:tabs>
          <w:tab w:val="left" w:pos="144"/>
        </w:tabs>
        <w:spacing w:after="120" w:line="240" w:lineRule="auto"/>
        <w:ind w:left="2160" w:hanging="720"/>
        <w:jc w:val="both"/>
        <w:rPr>
          <w:rFonts w:ascii="Arial" w:eastAsia="Arial" w:hAnsi="Arial" w:cs="Arial"/>
          <w:b/>
          <w:color w:val="000000"/>
          <w:sz w:val="24"/>
          <w:szCs w:val="24"/>
        </w:rPr>
      </w:pPr>
    </w:p>
    <w:p w14:paraId="0517356A"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more than one Ratchet applies to a KPI Failure in the same Service Period, the Ratchet resulting in the higher KPI Credit will be used.</w:t>
      </w:r>
    </w:p>
    <w:p w14:paraId="6668C958" w14:textId="77777777"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5" w:name="_heading=h.z337ya" w:colFirst="0" w:colLast="0"/>
      <w:bookmarkEnd w:id="15"/>
      <w:r>
        <w:rPr>
          <w:rFonts w:ascii="Arial" w:eastAsia="Arial" w:hAnsi="Arial" w:cs="Arial"/>
          <w:b/>
          <w:color w:val="000000"/>
          <w:sz w:val="24"/>
          <w:szCs w:val="24"/>
        </w:rPr>
        <w:t>KPI Credit Earn Back</w:t>
      </w:r>
    </w:p>
    <w:p w14:paraId="5D012AC1"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6" w:name="_heading=h.3j2qqm3" w:colFirst="0" w:colLast="0"/>
      <w:bookmarkEnd w:id="16"/>
      <w:r>
        <w:rPr>
          <w:rFonts w:ascii="Arial" w:eastAsia="Arial" w:hAnsi="Arial" w:cs="Arial"/>
          <w:color w:val="000000"/>
          <w:sz w:val="24"/>
          <w:szCs w:val="24"/>
        </w:rPr>
        <w:t>If:</w:t>
      </w:r>
    </w:p>
    <w:p w14:paraId="10D21CA3"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7" w:name="_heading=h.1y810tw" w:colFirst="0" w:colLast="0"/>
      <w:bookmarkEnd w:id="17"/>
      <w:r>
        <w:rPr>
          <w:rFonts w:ascii="Arial" w:eastAsia="Arial" w:hAnsi="Arial" w:cs="Arial"/>
          <w:color w:val="000000"/>
          <w:sz w:val="24"/>
          <w:szCs w:val="24"/>
        </w:rPr>
        <w:t>in respect of a Service Period the Supplier has been liable to pay (and has paid) a KPI Credit in relation to a KPI Category; and</w:t>
      </w:r>
    </w:p>
    <w:p w14:paraId="67A1499E" w14:textId="77777777" w:rsidR="006231A0" w:rsidRDefault="005D6FC8">
      <w:pPr>
        <w:numPr>
          <w:ilvl w:val="2"/>
          <w:numId w:val="1"/>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next Service Period, the Supplier is not liable to pay a KPI Credit in relation to the same KPI Category that was the subject of such KPI Credits in the previous Service Period,</w:t>
      </w:r>
    </w:p>
    <w:p w14:paraId="31921947"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14:paraId="4CE07B54"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Category and the Earn </w:t>
      </w:r>
      <w:r>
        <w:rPr>
          <w:rFonts w:ascii="Arial" w:eastAsia="Arial" w:hAnsi="Arial" w:cs="Arial"/>
          <w:sz w:val="24"/>
          <w:szCs w:val="24"/>
        </w:rPr>
        <w:t>B</w:t>
      </w:r>
      <w:r>
        <w:rPr>
          <w:rFonts w:ascii="Arial" w:eastAsia="Arial" w:hAnsi="Arial" w:cs="Arial"/>
          <w:color w:val="000000"/>
          <w:sz w:val="24"/>
          <w:szCs w:val="24"/>
        </w:rPr>
        <w:t>ack %.</w:t>
      </w:r>
    </w:p>
    <w:p w14:paraId="5AE82ABE"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entitled under this Paragraph 5 in accordance with Call-Off Schedule 5 (Call-Off Pricing).</w:t>
      </w:r>
    </w:p>
    <w:p w14:paraId="17BCA413" w14:textId="77777777"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14:paraId="3AEF39B4"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arise when one or both of the following takes place:</w:t>
      </w:r>
    </w:p>
    <w:p w14:paraId="06858F34"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8" w:name="_heading=h.3znysh7" w:colFirst="0" w:colLast="0"/>
      <w:bookmarkEnd w:id="18"/>
      <w:r>
        <w:rPr>
          <w:rFonts w:ascii="Arial" w:eastAsia="Arial" w:hAnsi="Arial" w:cs="Arial"/>
          <w:color w:val="000000"/>
          <w:sz w:val="24"/>
          <w:szCs w:val="24"/>
        </w:rPr>
        <w:t>a KPI Failure in respect of any one or more of the KPIs comprised in the same KPI Category occurs in five (5) consecutive Service Periods;</w:t>
      </w:r>
    </w:p>
    <w:p w14:paraId="4CD36514"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a KPI Failure in respect of any one or more of the KPIs comprised in the same KPI Category occurs in any seven (7) Service Periods in the immediately preceding twelve (12) Service Periods.</w:t>
      </w:r>
    </w:p>
    <w:p w14:paraId="64D98A07"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constitute a material Default of this Contract by the Supplier.</w:t>
      </w:r>
    </w:p>
    <w:p w14:paraId="08911F9D" w14:textId="77777777" w:rsidR="006231A0" w:rsidRDefault="006231A0">
      <w:pPr>
        <w:pBdr>
          <w:top w:val="nil"/>
          <w:left w:val="nil"/>
          <w:bottom w:val="nil"/>
          <w:right w:val="nil"/>
          <w:between w:val="nil"/>
        </w:pBdr>
        <w:spacing w:before="120" w:after="120" w:line="240" w:lineRule="auto"/>
        <w:rPr>
          <w:rFonts w:ascii="Arial" w:eastAsia="Arial" w:hAnsi="Arial" w:cs="Arial"/>
          <w:b/>
          <w:color w:val="000000"/>
          <w:sz w:val="36"/>
          <w:szCs w:val="36"/>
        </w:rPr>
      </w:pPr>
    </w:p>
    <w:p w14:paraId="6060E3B4" w14:textId="77777777" w:rsidR="006231A0" w:rsidRDefault="006231A0">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9" w:name="_heading=h.tyjcwt" w:colFirst="0" w:colLast="0"/>
      <w:bookmarkEnd w:id="19"/>
    </w:p>
    <w:p w14:paraId="000C5613" w14:textId="26FF9400" w:rsidR="006231A0" w:rsidRDefault="005D6FC8">
      <w:pPr>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Annex</w:t>
      </w:r>
      <w:r w:rsidRPr="00AC7947">
        <w:rPr>
          <w:rFonts w:ascii="Arial" w:eastAsia="Arial" w:hAnsi="Arial" w:cs="Arial"/>
          <w:b/>
          <w:color w:val="000000"/>
          <w:sz w:val="36"/>
          <w:szCs w:val="36"/>
        </w:rPr>
        <w:t xml:space="preserve"> </w:t>
      </w:r>
      <w:r w:rsidR="00352497">
        <w:rPr>
          <w:rFonts w:ascii="Arial" w:eastAsia="Arial" w:hAnsi="Arial" w:cs="Arial"/>
          <w:b/>
          <w:color w:val="000000"/>
          <w:sz w:val="36"/>
          <w:szCs w:val="36"/>
        </w:rPr>
        <w:t>A</w:t>
      </w:r>
      <w:r>
        <w:rPr>
          <w:rFonts w:ascii="Arial" w:eastAsia="Arial" w:hAnsi="Arial" w:cs="Arial"/>
          <w:b/>
          <w:color w:val="000000"/>
          <w:sz w:val="36"/>
          <w:szCs w:val="36"/>
        </w:rPr>
        <w:t xml:space="preserve"> to Part A – </w:t>
      </w:r>
      <w:proofErr w:type="spellStart"/>
      <w:r>
        <w:rPr>
          <w:rFonts w:ascii="Arial" w:eastAsia="Arial" w:hAnsi="Arial" w:cs="Arial"/>
          <w:b/>
          <w:color w:val="000000"/>
          <w:sz w:val="36"/>
          <w:szCs w:val="36"/>
        </w:rPr>
        <w:t>KPI_Paymech</w:t>
      </w:r>
      <w:proofErr w:type="spellEnd"/>
      <w:r>
        <w:rPr>
          <w:rFonts w:ascii="Arial" w:eastAsia="Arial" w:hAnsi="Arial" w:cs="Arial"/>
          <w:b/>
          <w:color w:val="000000"/>
          <w:sz w:val="36"/>
          <w:szCs w:val="36"/>
        </w:rPr>
        <w:t xml:space="preserve"> Model</w:t>
      </w:r>
    </w:p>
    <w:p w14:paraId="0AC2BEEE" w14:textId="39A05CBA" w:rsidR="006231A0" w:rsidRDefault="006231A0">
      <w:pPr>
        <w:pBdr>
          <w:top w:val="nil"/>
          <w:left w:val="nil"/>
          <w:bottom w:val="nil"/>
          <w:right w:val="nil"/>
          <w:between w:val="nil"/>
        </w:pBdr>
        <w:spacing w:before="120" w:after="120" w:line="240" w:lineRule="auto"/>
        <w:rPr>
          <w:rFonts w:ascii="Arial" w:eastAsia="Arial" w:hAnsi="Arial" w:cs="Arial"/>
        </w:rPr>
      </w:pPr>
      <w:bookmarkStart w:id="20" w:name="_heading=h.3dy6vkm" w:colFirst="0" w:colLast="0"/>
      <w:bookmarkEnd w:id="20"/>
    </w:p>
    <w:p w14:paraId="6C235480" w14:textId="2B5F7DEB" w:rsidR="006231A0" w:rsidRDefault="005D6FC8">
      <w:pPr>
        <w:pBdr>
          <w:top w:val="nil"/>
          <w:left w:val="nil"/>
          <w:bottom w:val="nil"/>
          <w:right w:val="nil"/>
          <w:between w:val="nil"/>
        </w:pBdr>
        <w:spacing w:before="120" w:after="120" w:line="240" w:lineRule="auto"/>
        <w:rPr>
          <w:rFonts w:ascii="Arial" w:eastAsia="Arial" w:hAnsi="Arial" w:cs="Arial"/>
        </w:rPr>
      </w:pPr>
      <w:bookmarkStart w:id="21" w:name="_heading=h.4d34og8" w:colFirst="0" w:colLast="0"/>
      <w:bookmarkEnd w:id="21"/>
      <w:r>
        <w:rPr>
          <w:rFonts w:ascii="Arial" w:eastAsia="Arial" w:hAnsi="Arial" w:cs="Arial"/>
        </w:rPr>
        <w:t xml:space="preserve">     </w:t>
      </w:r>
      <w:r w:rsidR="00D6117F">
        <w:rPr>
          <w:rFonts w:ascii="Arial" w:eastAsia="Arial" w:hAnsi="Arial" w:cs="Arial"/>
        </w:rPr>
        <w:object w:dxaOrig="1508" w:dyaOrig="982" w14:anchorId="096E7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11" o:title=""/>
          </v:shape>
          <o:OLEObject Type="Embed" ProgID="Excel.Sheet.12" ShapeID="_x0000_i1027" DrawAspect="Icon" ObjectID="_1771853275" r:id="rId12"/>
        </w:object>
      </w:r>
      <w:bookmarkStart w:id="22" w:name="_GoBack"/>
      <w:bookmarkEnd w:id="22"/>
      <w:r w:rsidR="00D6117F">
        <w:rPr>
          <w:rFonts w:ascii="Arial" w:eastAsia="Arial" w:hAnsi="Arial" w:cs="Arial"/>
        </w:rPr>
        <w:tab/>
      </w:r>
      <w:r w:rsidR="00D6117F">
        <w:rPr>
          <w:rFonts w:ascii="Arial" w:eastAsia="Arial" w:hAnsi="Arial" w:cs="Arial"/>
        </w:rPr>
        <w:tab/>
      </w:r>
    </w:p>
    <w:p w14:paraId="226D9A81" w14:textId="77777777" w:rsidR="006231A0" w:rsidRDefault="006231A0">
      <w:pPr>
        <w:pBdr>
          <w:top w:val="nil"/>
          <w:left w:val="nil"/>
          <w:bottom w:val="nil"/>
          <w:right w:val="nil"/>
          <w:between w:val="nil"/>
        </w:pBdr>
        <w:spacing w:before="120" w:after="120" w:line="240" w:lineRule="auto"/>
        <w:rPr>
          <w:rFonts w:ascii="Arial" w:eastAsia="Arial" w:hAnsi="Arial" w:cs="Arial"/>
        </w:rPr>
      </w:pPr>
    </w:p>
    <w:p w14:paraId="61CCFED5" w14:textId="758C2D32" w:rsidR="006231A0" w:rsidRPr="005015A2" w:rsidRDefault="005015A2">
      <w:pPr>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Annex</w:t>
      </w:r>
      <w:r w:rsidRPr="00AC7947">
        <w:rPr>
          <w:rFonts w:ascii="Arial" w:eastAsia="Arial" w:hAnsi="Arial" w:cs="Arial"/>
          <w:b/>
          <w:color w:val="000000"/>
          <w:sz w:val="36"/>
          <w:szCs w:val="36"/>
        </w:rPr>
        <w:t xml:space="preserve"> </w:t>
      </w:r>
      <w:r>
        <w:rPr>
          <w:rFonts w:ascii="Arial" w:eastAsia="Arial" w:hAnsi="Arial" w:cs="Arial"/>
          <w:b/>
          <w:color w:val="000000"/>
          <w:sz w:val="36"/>
          <w:szCs w:val="36"/>
        </w:rPr>
        <w:t>B to Part A – Publishable KPI’s</w:t>
      </w:r>
    </w:p>
    <w:p w14:paraId="4219ED67" w14:textId="77777777" w:rsidR="00297642" w:rsidRDefault="00297642">
      <w:pPr>
        <w:pBdr>
          <w:top w:val="nil"/>
          <w:left w:val="nil"/>
          <w:bottom w:val="nil"/>
          <w:right w:val="nil"/>
          <w:between w:val="nil"/>
        </w:pBdr>
        <w:spacing w:before="120" w:after="120" w:line="240" w:lineRule="auto"/>
        <w:rPr>
          <w:rFonts w:ascii="Arial" w:eastAsia="Arial" w:hAnsi="Arial" w:cs="Arial"/>
        </w:rPr>
      </w:pPr>
    </w:p>
    <w:p w14:paraId="1D782ADE" w14:textId="3D09F685" w:rsidR="006231A0" w:rsidRPr="00297642" w:rsidRDefault="00297642">
      <w:pPr>
        <w:pBdr>
          <w:top w:val="nil"/>
          <w:left w:val="nil"/>
          <w:bottom w:val="nil"/>
          <w:right w:val="nil"/>
          <w:between w:val="nil"/>
        </w:pBdr>
        <w:spacing w:before="120" w:after="120" w:line="240" w:lineRule="auto"/>
        <w:rPr>
          <w:rFonts w:ascii="Arial" w:eastAsia="Arial" w:hAnsi="Arial" w:cs="Arial"/>
          <w:sz w:val="24"/>
          <w:szCs w:val="24"/>
        </w:rPr>
      </w:pPr>
      <w:r w:rsidRPr="00297642">
        <w:rPr>
          <w:rStyle w:val="ui-provider"/>
          <w:rFonts w:ascii="Arial" w:hAnsi="Arial" w:cs="Arial"/>
          <w:sz w:val="24"/>
          <w:szCs w:val="24"/>
        </w:rPr>
        <w:t>The Buyer is required to publish KPIs in relation to this Contract.  The KPIs which shall be publishable must include three Service Levels KPIs and the single most important Social Value KPI and shall be agreed between the Buyer and the Supplier at the start of each Contract Year.</w:t>
      </w:r>
    </w:p>
    <w:p w14:paraId="2A327903" w14:textId="77777777" w:rsidR="006231A0" w:rsidRDefault="006231A0" w:rsidP="00057822">
      <w:pPr>
        <w:pBdr>
          <w:top w:val="nil"/>
          <w:left w:val="nil"/>
          <w:bottom w:val="nil"/>
          <w:right w:val="nil"/>
          <w:between w:val="nil"/>
        </w:pBdr>
        <w:spacing w:before="120" w:after="120" w:line="240" w:lineRule="auto"/>
        <w:rPr>
          <w:rFonts w:ascii="Arial" w:eastAsia="Arial" w:hAnsi="Arial" w:cs="Arial"/>
        </w:rPr>
      </w:pPr>
    </w:p>
    <w:p w14:paraId="6D593411" w14:textId="77777777" w:rsidR="006231A0" w:rsidRDefault="006231A0">
      <w:pPr>
        <w:pBdr>
          <w:top w:val="nil"/>
          <w:left w:val="nil"/>
          <w:bottom w:val="nil"/>
          <w:right w:val="nil"/>
          <w:between w:val="nil"/>
        </w:pBdr>
        <w:spacing w:before="120" w:after="120" w:line="240" w:lineRule="auto"/>
        <w:rPr>
          <w:rFonts w:ascii="Arial" w:eastAsia="Arial" w:hAnsi="Arial" w:cs="Arial"/>
        </w:rPr>
      </w:pPr>
    </w:p>
    <w:p w14:paraId="122F5110" w14:textId="77777777" w:rsidR="006231A0" w:rsidRPr="008956FC" w:rsidRDefault="005D6FC8" w:rsidP="008956FC">
      <w:pPr>
        <w:pBdr>
          <w:top w:val="nil"/>
          <w:left w:val="nil"/>
          <w:bottom w:val="nil"/>
          <w:right w:val="nil"/>
          <w:between w:val="nil"/>
        </w:pBdr>
        <w:spacing w:before="120" w:after="120" w:line="240" w:lineRule="auto"/>
        <w:rPr>
          <w:rFonts w:ascii="Arial" w:hAnsi="Arial"/>
          <w:caps/>
        </w:rPr>
      </w:pPr>
      <w:r w:rsidRPr="008956FC">
        <w:rPr>
          <w:rFonts w:ascii="Arial" w:hAnsi="Arial" w:hint="eastAsia"/>
          <w:b/>
          <w:color w:val="000000"/>
          <w:sz w:val="36"/>
        </w:rPr>
        <w:t xml:space="preserve">Part B: Performance Monitoring </w:t>
      </w:r>
    </w:p>
    <w:p w14:paraId="3C45810B" w14:textId="77777777" w:rsidR="006231A0" w:rsidRPr="008956FC" w:rsidRDefault="005D6FC8" w:rsidP="008956FC">
      <w:pPr>
        <w:numPr>
          <w:ilvl w:val="0"/>
          <w:numId w:val="4"/>
        </w:numPr>
        <w:pBdr>
          <w:top w:val="nil"/>
          <w:left w:val="nil"/>
          <w:bottom w:val="nil"/>
          <w:right w:val="nil"/>
          <w:between w:val="nil"/>
        </w:pBdr>
        <w:tabs>
          <w:tab w:val="left" w:pos="142"/>
        </w:tabs>
        <w:spacing w:before="240" w:after="120" w:line="240" w:lineRule="auto"/>
        <w:rPr>
          <w:rFonts w:ascii="Arial" w:hAnsi="Arial"/>
          <w:caps/>
          <w:color w:val="000000"/>
          <w:sz w:val="24"/>
        </w:rPr>
      </w:pPr>
      <w:r w:rsidRPr="008956FC">
        <w:rPr>
          <w:rFonts w:ascii="Arial" w:hAnsi="Arial" w:hint="eastAsia"/>
          <w:b/>
          <w:color w:val="000000"/>
          <w:sz w:val="24"/>
        </w:rPr>
        <w:t>Performance Monitoring and Performance Review</w:t>
      </w:r>
    </w:p>
    <w:p w14:paraId="51745F9B" w14:textId="596197BF"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Within twenty (20) Working Days of the Start Date the Supplier shall provide the Buyer with details of how the process in respect of the monitoring and reporting of </w:t>
      </w:r>
      <w:r>
        <w:rPr>
          <w:rFonts w:ascii="Arial" w:eastAsia="Arial" w:hAnsi="Arial" w:cs="Arial"/>
          <w:color w:val="000000"/>
          <w:sz w:val="24"/>
          <w:szCs w:val="24"/>
        </w:rPr>
        <w:t>KPIs</w:t>
      </w:r>
      <w:r w:rsidRPr="008956FC">
        <w:rPr>
          <w:rFonts w:ascii="Arial" w:hAnsi="Arial"/>
          <w:color w:val="000000"/>
          <w:sz w:val="24"/>
        </w:rPr>
        <w:t xml:space="preserve"> will operate between the Parties and the Parties will endeavour to agree such process as soon as reasonably possible.</w:t>
      </w:r>
    </w:p>
    <w:p w14:paraId="7884AAA0" w14:textId="10075EA5" w:rsidR="006231A0" w:rsidRPr="008956FC" w:rsidRDefault="005D6FC8" w:rsidP="008956FC">
      <w:pPr>
        <w:keepNext/>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shall provide the Buyer with performance monitoring reports </w:t>
      </w:r>
      <w:r>
        <w:rPr>
          <w:rFonts w:ascii="Arial" w:eastAsia="Arial" w:hAnsi="Arial" w:cs="Arial"/>
          <w:color w:val="000000"/>
          <w:sz w:val="24"/>
          <w:szCs w:val="24"/>
        </w:rPr>
        <w:t xml:space="preserve">in the same format as that in the KPI Paymech Model </w:t>
      </w:r>
      <w:r w:rsidRPr="008956FC">
        <w:rPr>
          <w:rFonts w:ascii="Arial" w:hAnsi="Arial"/>
          <w:color w:val="000000"/>
          <w:sz w:val="24"/>
        </w:rPr>
        <w:t>("</w:t>
      </w:r>
      <w:r w:rsidRPr="008956FC">
        <w:rPr>
          <w:rFonts w:ascii="Arial" w:hAnsi="Arial"/>
          <w:b/>
          <w:color w:val="000000"/>
          <w:sz w:val="24"/>
        </w:rPr>
        <w:t>Performance Monitoring Reports</w:t>
      </w:r>
      <w:r w:rsidRPr="008956FC">
        <w:rPr>
          <w:rFonts w:ascii="Arial" w:hAnsi="Arial"/>
          <w:color w:val="000000"/>
          <w:sz w:val="24"/>
        </w:rPr>
        <w:t xml:space="preserve">") in accordance with the process and timescales agreed pursuant to paragraph </w:t>
      </w:r>
      <w:r>
        <w:rPr>
          <w:rFonts w:ascii="Arial" w:eastAsia="Arial" w:hAnsi="Arial" w:cs="Arial"/>
          <w:sz w:val="24"/>
          <w:szCs w:val="24"/>
        </w:rPr>
        <w:t>1</w:t>
      </w:r>
      <w:r>
        <w:rPr>
          <w:rFonts w:ascii="Arial" w:eastAsia="Arial" w:hAnsi="Arial" w:cs="Arial"/>
          <w:color w:val="000000"/>
          <w:sz w:val="24"/>
          <w:szCs w:val="24"/>
        </w:rPr>
        <w:t>.1</w:t>
      </w:r>
      <w:r w:rsidRPr="008956FC">
        <w:rPr>
          <w:rFonts w:ascii="Arial" w:hAnsi="Arial"/>
          <w:color w:val="000000"/>
          <w:sz w:val="24"/>
        </w:rPr>
        <w:t xml:space="preserve"> of Part B of this Schedule which shall contain, as a minimum, the following information in respect of the relevant Service Period just ended:</w:t>
      </w:r>
    </w:p>
    <w:p w14:paraId="1492BCDB" w14:textId="2FFDCB6E"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for each </w:t>
      </w:r>
      <w:r>
        <w:rPr>
          <w:rFonts w:ascii="Arial" w:eastAsia="Arial" w:hAnsi="Arial" w:cs="Arial"/>
          <w:color w:val="000000"/>
          <w:sz w:val="24"/>
          <w:szCs w:val="24"/>
        </w:rPr>
        <w:t>KPI</w:t>
      </w:r>
      <w:r w:rsidRPr="008956FC">
        <w:rPr>
          <w:rFonts w:ascii="Arial" w:hAnsi="Arial"/>
          <w:color w:val="000000"/>
          <w:sz w:val="24"/>
        </w:rPr>
        <w:t xml:space="preserve">, the actual performance achieved over the </w:t>
      </w:r>
      <w:r>
        <w:rPr>
          <w:rFonts w:ascii="Arial" w:eastAsia="Arial" w:hAnsi="Arial" w:cs="Arial"/>
          <w:color w:val="000000"/>
          <w:sz w:val="24"/>
          <w:szCs w:val="24"/>
        </w:rPr>
        <w:t>KPI</w:t>
      </w:r>
      <w:r w:rsidRPr="008956FC">
        <w:rPr>
          <w:rFonts w:ascii="Arial" w:hAnsi="Arial"/>
          <w:color w:val="000000"/>
          <w:sz w:val="24"/>
        </w:rPr>
        <w:t xml:space="preserve"> for the relevant Service Period;</w:t>
      </w:r>
    </w:p>
    <w:p w14:paraId="5C63D36E" w14:textId="36720631"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lastRenderedPageBreak/>
        <w:t xml:space="preserve">a summary of all failures to achieve </w:t>
      </w:r>
      <w:r>
        <w:rPr>
          <w:rFonts w:ascii="Arial" w:eastAsia="Arial" w:hAnsi="Arial" w:cs="Arial"/>
          <w:color w:val="000000"/>
          <w:sz w:val="24"/>
          <w:szCs w:val="24"/>
        </w:rPr>
        <w:t>KPIs</w:t>
      </w:r>
      <w:r w:rsidRPr="008956FC">
        <w:rPr>
          <w:rFonts w:ascii="Arial" w:hAnsi="Arial"/>
          <w:color w:val="000000"/>
          <w:sz w:val="24"/>
        </w:rPr>
        <w:t xml:space="preserve"> that occurred during that Service Period;</w:t>
      </w:r>
    </w:p>
    <w:p w14:paraId="7CB313CD" w14:textId="4F64475D"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details of any </w:t>
      </w:r>
      <w:r>
        <w:rPr>
          <w:rFonts w:ascii="Arial" w:eastAsia="Arial" w:hAnsi="Arial" w:cs="Arial"/>
          <w:color w:val="000000"/>
          <w:sz w:val="24"/>
          <w:szCs w:val="24"/>
        </w:rPr>
        <w:t>Persistent KPI</w:t>
      </w:r>
      <w:r w:rsidRPr="008956FC">
        <w:rPr>
          <w:rFonts w:ascii="Arial" w:hAnsi="Arial"/>
          <w:color w:val="000000"/>
          <w:sz w:val="24"/>
        </w:rPr>
        <w:t xml:space="preserve"> Failures;</w:t>
      </w:r>
    </w:p>
    <w:p w14:paraId="7D0B8E70" w14:textId="5512922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for any </w:t>
      </w:r>
      <w:r>
        <w:rPr>
          <w:rFonts w:ascii="Arial" w:eastAsia="Arial" w:hAnsi="Arial" w:cs="Arial"/>
          <w:color w:val="000000"/>
          <w:sz w:val="24"/>
          <w:szCs w:val="24"/>
        </w:rPr>
        <w:t>Persistent</w:t>
      </w:r>
      <w:r w:rsidRPr="008956FC">
        <w:rPr>
          <w:rFonts w:ascii="Arial" w:hAnsi="Arial"/>
          <w:color w:val="000000"/>
          <w:sz w:val="24"/>
        </w:rPr>
        <w:t xml:space="preserve"> failures, actions taken to resolve the underlying cause and prevent recurrence;</w:t>
      </w:r>
    </w:p>
    <w:p w14:paraId="3F645F57" w14:textId="14466D38"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w:t>
      </w:r>
      <w:r>
        <w:rPr>
          <w:rFonts w:ascii="Arial" w:eastAsia="Arial" w:hAnsi="Arial" w:cs="Arial"/>
          <w:color w:val="000000"/>
          <w:sz w:val="24"/>
          <w:szCs w:val="24"/>
        </w:rPr>
        <w:t>KPI</w:t>
      </w:r>
      <w:r w:rsidRPr="008956FC">
        <w:rPr>
          <w:rFonts w:ascii="Arial" w:hAnsi="Arial"/>
          <w:color w:val="000000"/>
          <w:sz w:val="24"/>
        </w:rPr>
        <w:t xml:space="preserve"> Credits to be applied in respect of the relevant </w:t>
      </w:r>
      <w:r>
        <w:rPr>
          <w:rFonts w:ascii="Arial" w:eastAsia="Arial" w:hAnsi="Arial" w:cs="Arial"/>
          <w:color w:val="000000"/>
          <w:sz w:val="24"/>
          <w:szCs w:val="24"/>
        </w:rPr>
        <w:t>Service Period</w:t>
      </w:r>
      <w:r w:rsidRPr="008956FC">
        <w:rPr>
          <w:rFonts w:ascii="Arial" w:hAnsi="Arial"/>
          <w:color w:val="000000"/>
          <w:sz w:val="24"/>
        </w:rPr>
        <w:t xml:space="preserve"> indicating the </w:t>
      </w:r>
      <w:r>
        <w:rPr>
          <w:rFonts w:ascii="Arial" w:eastAsia="Arial" w:hAnsi="Arial" w:cs="Arial"/>
          <w:color w:val="000000"/>
          <w:sz w:val="24"/>
          <w:szCs w:val="24"/>
        </w:rPr>
        <w:t>KPI Failures</w:t>
      </w:r>
      <w:r w:rsidRPr="008956FC">
        <w:rPr>
          <w:rFonts w:ascii="Arial" w:hAnsi="Arial"/>
          <w:color w:val="000000"/>
          <w:sz w:val="24"/>
        </w:rPr>
        <w:t xml:space="preserve"> and </w:t>
      </w:r>
      <w:r>
        <w:rPr>
          <w:rFonts w:ascii="Arial" w:eastAsia="Arial" w:hAnsi="Arial" w:cs="Arial"/>
          <w:color w:val="000000"/>
          <w:sz w:val="24"/>
          <w:szCs w:val="24"/>
        </w:rPr>
        <w:t>KPIs</w:t>
      </w:r>
      <w:r w:rsidRPr="008956FC">
        <w:rPr>
          <w:rFonts w:ascii="Arial" w:hAnsi="Arial"/>
          <w:color w:val="000000"/>
          <w:sz w:val="24"/>
        </w:rPr>
        <w:t xml:space="preserve"> to which the </w:t>
      </w:r>
      <w:r>
        <w:rPr>
          <w:rFonts w:ascii="Arial" w:eastAsia="Arial" w:hAnsi="Arial" w:cs="Arial"/>
          <w:color w:val="000000"/>
          <w:sz w:val="24"/>
          <w:szCs w:val="24"/>
        </w:rPr>
        <w:t>KPI</w:t>
      </w:r>
      <w:r w:rsidRPr="008956FC">
        <w:rPr>
          <w:rFonts w:ascii="Arial" w:hAnsi="Arial"/>
          <w:color w:val="000000"/>
          <w:sz w:val="24"/>
        </w:rPr>
        <w:t xml:space="preserve"> Credits relate; and</w:t>
      </w:r>
    </w:p>
    <w:p w14:paraId="08AA61CD"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such other details as the Buyer may reasonably require from time to time.</w:t>
      </w:r>
    </w:p>
    <w:p w14:paraId="0B76BD1C" w14:textId="77777777" w:rsidR="006231A0" w:rsidRPr="008956FC" w:rsidRDefault="005D6FC8" w:rsidP="008956FC">
      <w:pPr>
        <w:keepNext/>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Parties shall attend meetings to discuss Performance Monitoring Reports ("</w:t>
      </w:r>
      <w:r w:rsidRPr="008956FC">
        <w:rPr>
          <w:rFonts w:ascii="Arial" w:hAnsi="Arial"/>
          <w:b/>
          <w:color w:val="000000"/>
          <w:sz w:val="24"/>
        </w:rPr>
        <w:t>Performance Review Meetings</w:t>
      </w:r>
      <w:r w:rsidRPr="008956FC">
        <w:rPr>
          <w:rFonts w:ascii="Arial" w:hAnsi="Arial"/>
          <w:color w:val="000000"/>
          <w:sz w:val="24"/>
        </w:rPr>
        <w:t>") on a Monthly basis. The Performance Review Meetings will be the forum for the review by the Supplier and the Buyer of the Performance Monitoring Reports.  The Performance Review Meetings shall:</w:t>
      </w:r>
    </w:p>
    <w:p w14:paraId="65418129"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take place within one (1) week of the Performance Monitoring Reports being issued by the Supplier at such location and time (within normal business hours) as the Buyer shall reasonably require;</w:t>
      </w:r>
    </w:p>
    <w:p w14:paraId="1D04DF42"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be attended by the Supplier's Representative and the Buyer’s Representative; and</w:t>
      </w:r>
    </w:p>
    <w:p w14:paraId="5EF5A6E4"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be fully minuted by the Supplier and the minutes will be circulated by the Supplier to all attendees at the relevant meeting and also to the Buyer’s Representative and any other recipients agreed at the relevant meeting.  </w:t>
      </w:r>
    </w:p>
    <w:p w14:paraId="11105059" w14:textId="77777777"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minutes of the preceding Month's Performance Review Meeting will be agreed and signed by both the Supplier's Representative and the Buyer’s Representative at each meeting.</w:t>
      </w:r>
    </w:p>
    <w:p w14:paraId="39E71FCD" w14:textId="6CD8C6C5"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shall provide to the Buyer such documentation as the Buyer may reasonably require in order to verify the level of the performance by the Supplier and the calculations of the amount of </w:t>
      </w:r>
      <w:r>
        <w:rPr>
          <w:rFonts w:ascii="Arial" w:eastAsia="Arial" w:hAnsi="Arial" w:cs="Arial"/>
          <w:color w:val="000000"/>
          <w:sz w:val="24"/>
          <w:szCs w:val="24"/>
        </w:rPr>
        <w:t>KPI</w:t>
      </w:r>
      <w:r w:rsidRPr="008956FC">
        <w:rPr>
          <w:rFonts w:ascii="Arial" w:hAnsi="Arial"/>
          <w:color w:val="000000"/>
          <w:sz w:val="24"/>
        </w:rPr>
        <w:t xml:space="preserve"> Credits for any specified Service Period.</w:t>
      </w:r>
    </w:p>
    <w:p w14:paraId="72BBE186" w14:textId="77777777" w:rsidR="006231A0" w:rsidRPr="008956FC" w:rsidRDefault="006231A0" w:rsidP="008956FC">
      <w:pPr>
        <w:pBdr>
          <w:top w:val="nil"/>
          <w:left w:val="nil"/>
          <w:bottom w:val="nil"/>
          <w:right w:val="nil"/>
          <w:between w:val="nil"/>
        </w:pBdr>
        <w:spacing w:before="120" w:after="120" w:line="240" w:lineRule="auto"/>
        <w:ind w:left="1440" w:hanging="576"/>
        <w:rPr>
          <w:rFonts w:ascii="Arial" w:hAnsi="Arial"/>
          <w:color w:val="000000"/>
          <w:sz w:val="24"/>
        </w:rPr>
      </w:pPr>
    </w:p>
    <w:p w14:paraId="2CC7BAA8" w14:textId="77777777" w:rsidR="006231A0" w:rsidRPr="008956FC" w:rsidRDefault="005D6FC8" w:rsidP="008956FC">
      <w:pPr>
        <w:numPr>
          <w:ilvl w:val="0"/>
          <w:numId w:val="4"/>
        </w:numPr>
        <w:pBdr>
          <w:top w:val="nil"/>
          <w:left w:val="nil"/>
          <w:bottom w:val="nil"/>
          <w:right w:val="nil"/>
          <w:between w:val="nil"/>
        </w:pBdr>
        <w:tabs>
          <w:tab w:val="left" w:pos="142"/>
        </w:tabs>
        <w:spacing w:before="240" w:after="120" w:line="240" w:lineRule="auto"/>
        <w:rPr>
          <w:rFonts w:ascii="Arial" w:hAnsi="Arial"/>
          <w:caps/>
          <w:color w:val="000000"/>
          <w:sz w:val="24"/>
        </w:rPr>
      </w:pPr>
      <w:r w:rsidRPr="008956FC">
        <w:rPr>
          <w:rFonts w:ascii="Arial" w:hAnsi="Arial" w:hint="eastAsia"/>
          <w:b/>
          <w:color w:val="000000"/>
          <w:sz w:val="24"/>
        </w:rPr>
        <w:t>Satisfaction Surveys</w:t>
      </w:r>
    </w:p>
    <w:p w14:paraId="055084F1" w14:textId="534E7411"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w:t>
      </w:r>
      <w:r w:rsidRPr="008956FC">
        <w:rPr>
          <w:rFonts w:ascii="Arial" w:hAnsi="Arial"/>
          <w:color w:val="000000"/>
          <w:sz w:val="24"/>
        </w:rPr>
        <w:t xml:space="preserve"> reasonably suggest are not in accordance with this Contract.</w:t>
      </w:r>
    </w:p>
    <w:p w14:paraId="7D08D715" w14:textId="77777777" w:rsidR="006231A0" w:rsidRPr="008956FC" w:rsidRDefault="006231A0" w:rsidP="008956FC">
      <w:pPr>
        <w:pBdr>
          <w:top w:val="nil"/>
          <w:left w:val="nil"/>
          <w:bottom w:val="nil"/>
          <w:right w:val="nil"/>
          <w:between w:val="nil"/>
        </w:pBdr>
        <w:spacing w:before="120" w:after="120" w:line="240" w:lineRule="auto"/>
        <w:ind w:left="936" w:hanging="576"/>
        <w:jc w:val="both"/>
        <w:rPr>
          <w:rFonts w:ascii="Arial" w:hAnsi="Arial"/>
          <w:color w:val="000000"/>
          <w:sz w:val="24"/>
        </w:rPr>
      </w:pPr>
      <w:bookmarkStart w:id="23" w:name="_heading=h.30j0zll" w:colFirst="0" w:colLast="0"/>
      <w:bookmarkStart w:id="24" w:name="_Hlt365637504"/>
      <w:bookmarkStart w:id="25" w:name="_Hlt365637641"/>
      <w:bookmarkStart w:id="26" w:name="_Hlt365636904"/>
      <w:bookmarkStart w:id="27" w:name="_Hlt365636907"/>
      <w:bookmarkStart w:id="28" w:name="_Toc349230508"/>
      <w:bookmarkStart w:id="29" w:name="_Toc349230509"/>
      <w:bookmarkStart w:id="30" w:name="_Toc349230615"/>
      <w:bookmarkStart w:id="31" w:name="_Toc349230624"/>
      <w:bookmarkStart w:id="32" w:name="_Toc349230661"/>
      <w:bookmarkStart w:id="33" w:name="_Toc349230715"/>
      <w:bookmarkStart w:id="34" w:name="_Toc349230717"/>
      <w:bookmarkStart w:id="35" w:name="_Toc349231564"/>
      <w:bookmarkStart w:id="36" w:name="_Toc348712421"/>
      <w:bookmarkStart w:id="37" w:name="_Toc348712423"/>
      <w:bookmarkStart w:id="38" w:name="_Toc348712425"/>
      <w:bookmarkStart w:id="39" w:name="_Toc349230720"/>
      <w:bookmarkStart w:id="40" w:name="_Toc349231566"/>
      <w:bookmarkStart w:id="41" w:name="_Toc348712427"/>
      <w:bookmarkStart w:id="42" w:name="_Toc348712429"/>
      <w:bookmarkStart w:id="43" w:name="_Toc349230723"/>
      <w:bookmarkStart w:id="44" w:name="_Toc348712431"/>
      <w:bookmarkStart w:id="45" w:name="_Toc349230725"/>
      <w:bookmarkStart w:id="46" w:name="_Toc349231569"/>
      <w:bookmarkStart w:id="47" w:name="_Toc349230741"/>
      <w:bookmarkStart w:id="48" w:name="_Toc349231585"/>
      <w:bookmarkStart w:id="49" w:name="_Toc349232221"/>
      <w:bookmarkStart w:id="50" w:name="_Toc349230757"/>
      <w:bookmarkStart w:id="51" w:name="_Toc349230765"/>
      <w:bookmarkStart w:id="52" w:name="_Toc349231607"/>
      <w:bookmarkStart w:id="53" w:name="_Toc349232238"/>
      <w:bookmarkStart w:id="54" w:name="_Toc349230785"/>
      <w:bookmarkStart w:id="55" w:name="_Toc349231627"/>
      <w:bookmarkStart w:id="56" w:name="_Toc349230790"/>
      <w:bookmarkStart w:id="57" w:name="_Toc349231632"/>
      <w:bookmarkStart w:id="58" w:name="_Toc349230792"/>
      <w:bookmarkStart w:id="59" w:name="_Toc349230803"/>
      <w:bookmarkStart w:id="60" w:name="_Toc349231642"/>
      <w:bookmarkStart w:id="61" w:name="_Toc349232261"/>
      <w:bookmarkStart w:id="62" w:name="_Toc349230813"/>
      <w:bookmarkStart w:id="63" w:name="_Toc349231652"/>
      <w:bookmarkStart w:id="64" w:name="_Toc349232271"/>
      <w:bookmarkStart w:id="65" w:name="_Toc349230815"/>
      <w:bookmarkStart w:id="66" w:name="_Toc349231654"/>
      <w:bookmarkStart w:id="67" w:name="_Toc349232273"/>
      <w:bookmarkStart w:id="68" w:name="_Toc349230822"/>
      <w:bookmarkStart w:id="69" w:name="_Toc349231661"/>
      <w:bookmarkStart w:id="70" w:name="_Toc349232279"/>
      <w:bookmarkStart w:id="71" w:name="_Toc349230832"/>
      <w:bookmarkStart w:id="72" w:name="_Toc348712442"/>
      <w:bookmarkStart w:id="73" w:name="_Toc349230834"/>
      <w:bookmarkStart w:id="74" w:name="_Toc349231671"/>
      <w:bookmarkStart w:id="75" w:name="_Toc349230841"/>
      <w:bookmarkStart w:id="76" w:name="_Toc349231678"/>
      <w:bookmarkStart w:id="77" w:name="_Toc349232291"/>
      <w:bookmarkStart w:id="78" w:name="_Toc349230869"/>
      <w:bookmarkStart w:id="79" w:name="_Toc348712444"/>
      <w:bookmarkStart w:id="80" w:name="_Toc348712446"/>
      <w:bookmarkStart w:id="81" w:name="_Toc348712448"/>
      <w:bookmarkStart w:id="82" w:name="_Toc349230895"/>
      <w:bookmarkStart w:id="83" w:name="_Toc349231722"/>
      <w:bookmarkStart w:id="84" w:name="_Toc349230912"/>
      <w:bookmarkStart w:id="85" w:name="_Toc349230938"/>
      <w:bookmarkStart w:id="86" w:name="_Toc349231748"/>
      <w:bookmarkStart w:id="87" w:name="_Toc348712500"/>
      <w:bookmarkStart w:id="88" w:name="_Toc349231028"/>
      <w:bookmarkStart w:id="89" w:name="_Toc349231805"/>
      <w:bookmarkStart w:id="90" w:name="_Toc348712594"/>
      <w:bookmarkStart w:id="91" w:name="_Toc349231076"/>
      <w:bookmarkStart w:id="92" w:name="_Toc349231179"/>
      <w:bookmarkStart w:id="93" w:name="_Toc349231185"/>
      <w:bookmarkStart w:id="94" w:name="_Toc348712710"/>
      <w:bookmarkStart w:id="95" w:name="_Toc348712716"/>
      <w:bookmarkStart w:id="96" w:name="_Toc34923120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6231A0" w:rsidRPr="008956FC" w:rsidSect="008956FC">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BAE4B" w14:textId="77777777" w:rsidR="004B3495" w:rsidRDefault="004B3495">
      <w:pPr>
        <w:spacing w:after="0" w:line="240" w:lineRule="auto"/>
      </w:pPr>
      <w:r>
        <w:separator/>
      </w:r>
    </w:p>
  </w:endnote>
  <w:endnote w:type="continuationSeparator" w:id="0">
    <w:p w14:paraId="4CB98DD0" w14:textId="77777777" w:rsidR="004B3495" w:rsidRDefault="004B3495">
      <w:pPr>
        <w:spacing w:after="0" w:line="240" w:lineRule="auto"/>
      </w:pPr>
      <w:r>
        <w:continuationSeparator/>
      </w:r>
    </w:p>
  </w:endnote>
  <w:endnote w:type="continuationNotice" w:id="1">
    <w:p w14:paraId="71DFD8BB" w14:textId="77777777" w:rsidR="004B3495" w:rsidRDefault="004B34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869F1"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3B87F" w14:textId="77777777" w:rsidR="00724FEA" w:rsidRPr="008956FC" w:rsidRDefault="00724FEA" w:rsidP="00724FEA">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b/>
        <w:color w:val="000000"/>
        <w:sz w:val="20"/>
      </w:rPr>
      <w:t>Call-Off Schedule 14 (</w:t>
    </w:r>
    <w:r>
      <w:rPr>
        <w:rFonts w:ascii="Arial" w:eastAsia="Arial" w:hAnsi="Arial" w:cs="Arial"/>
        <w:b/>
        <w:sz w:val="20"/>
        <w:szCs w:val="20"/>
      </w:rPr>
      <w:t>Key Performance Indicators</w:t>
    </w:r>
    <w:r w:rsidRPr="008956FC">
      <w:rPr>
        <w:rFonts w:ascii="Arial" w:hAnsi="Arial"/>
        <w:b/>
        <w:color w:val="000000"/>
        <w:sz w:val="20"/>
      </w:rPr>
      <w:t>)</w:t>
    </w:r>
  </w:p>
  <w:p w14:paraId="1D59D879" w14:textId="77777777" w:rsidR="00724FEA" w:rsidRPr="008956FC" w:rsidRDefault="00724FEA" w:rsidP="00724FEA">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Call-Off Ref:</w:t>
    </w:r>
    <w:r>
      <w:rPr>
        <w:rFonts w:ascii="Arial" w:hAnsi="Arial"/>
        <w:color w:val="000000"/>
        <w:sz w:val="20"/>
      </w:rPr>
      <w:t xml:space="preserve"> </w:t>
    </w:r>
    <w:r w:rsidRPr="00724FEA">
      <w:rPr>
        <w:rFonts w:ascii="Arial" w:hAnsi="Arial"/>
        <w:color w:val="000000"/>
        <w:sz w:val="20"/>
      </w:rPr>
      <w:t>CCSE22A05</w:t>
    </w:r>
  </w:p>
  <w:p w14:paraId="1AD268DC" w14:textId="77777777" w:rsidR="00724FEA" w:rsidRPr="008956FC" w:rsidRDefault="00724FEA" w:rsidP="00724FEA">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 xml:space="preserve">Crown Copyright </w:t>
    </w:r>
    <w:r w:rsidRPr="00724FEA">
      <w:rPr>
        <w:rFonts w:ascii="Arial" w:hAnsi="Arial"/>
        <w:color w:val="000000"/>
        <w:sz w:val="20"/>
      </w:rPr>
      <w:t>2021</w:t>
    </w:r>
  </w:p>
  <w:p w14:paraId="150D7DAA" w14:textId="77777777" w:rsidR="00724FEA" w:rsidRPr="008956FC" w:rsidRDefault="00724FEA" w:rsidP="00724FEA">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 xml:space="preserve">Framework Ref: </w:t>
    </w:r>
    <w:r w:rsidRPr="00724FEA">
      <w:rPr>
        <w:rFonts w:ascii="Arial" w:hAnsi="Arial"/>
        <w:color w:val="000000"/>
        <w:sz w:val="20"/>
      </w:rPr>
      <w:t xml:space="preserve">RM6257     </w:t>
    </w:r>
  </w:p>
  <w:p w14:paraId="6A81185E" w14:textId="1E992FC1" w:rsidR="00724FEA" w:rsidRDefault="00724FEA" w:rsidP="00724FEA">
    <w:pPr>
      <w:pStyle w:val="Footer"/>
      <w:rPr>
        <w:rFonts w:ascii="Arial" w:hAnsi="Arial"/>
        <w:color w:val="000000"/>
        <w:sz w:val="20"/>
      </w:rPr>
    </w:pPr>
    <w:r w:rsidRPr="008956FC">
      <w:rPr>
        <w:rFonts w:ascii="Arial" w:hAnsi="Arial"/>
        <w:color w:val="000000"/>
        <w:sz w:val="20"/>
      </w:rPr>
      <w:t xml:space="preserve">Project Version: </w:t>
    </w:r>
    <w:r w:rsidRPr="00724FEA">
      <w:rPr>
        <w:rFonts w:ascii="Arial" w:hAnsi="Arial"/>
        <w:color w:val="000000"/>
        <w:sz w:val="20"/>
      </w:rPr>
      <w:t>v</w:t>
    </w:r>
    <w:r w:rsidR="005A4A14">
      <w:rPr>
        <w:rFonts w:ascii="Arial" w:hAnsi="Arial"/>
        <w:color w:val="000000"/>
        <w:sz w:val="20"/>
      </w:rPr>
      <w:t>0.1</w:t>
    </w:r>
  </w:p>
  <w:p w14:paraId="03E5D6C3" w14:textId="665F20FB" w:rsidR="00724FEA" w:rsidRPr="00724FEA" w:rsidRDefault="004B3495" w:rsidP="00724FEA">
    <w:pPr>
      <w:pStyle w:val="Footer"/>
      <w:jc w:val="right"/>
      <w:rPr>
        <w:rFonts w:ascii="Arial" w:hAnsi="Arial" w:cs="Arial"/>
      </w:rPr>
    </w:pPr>
    <w:sdt>
      <w:sdtPr>
        <w:rPr>
          <w:rFonts w:ascii="Arial" w:hAnsi="Arial" w:cs="Arial"/>
        </w:rPr>
        <w:id w:val="-1861726345"/>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r w:rsidR="00724FEA" w:rsidRPr="00724FEA">
              <w:rPr>
                <w:rFonts w:ascii="Arial" w:hAnsi="Arial" w:cs="Arial"/>
              </w:rPr>
              <w:t xml:space="preserve">Page </w:t>
            </w:r>
            <w:r w:rsidR="00724FEA" w:rsidRPr="00724FEA">
              <w:rPr>
                <w:rFonts w:ascii="Arial" w:hAnsi="Arial" w:cs="Arial"/>
                <w:b/>
                <w:bCs/>
                <w:sz w:val="24"/>
                <w:szCs w:val="24"/>
              </w:rPr>
              <w:fldChar w:fldCharType="begin"/>
            </w:r>
            <w:r w:rsidR="00724FEA" w:rsidRPr="00724FEA">
              <w:rPr>
                <w:rFonts w:ascii="Arial" w:hAnsi="Arial" w:cs="Arial"/>
                <w:b/>
                <w:bCs/>
              </w:rPr>
              <w:instrText xml:space="preserve"> PAGE </w:instrText>
            </w:r>
            <w:r w:rsidR="00724FEA" w:rsidRPr="00724FEA">
              <w:rPr>
                <w:rFonts w:ascii="Arial" w:hAnsi="Arial" w:cs="Arial"/>
                <w:b/>
                <w:bCs/>
                <w:sz w:val="24"/>
                <w:szCs w:val="24"/>
              </w:rPr>
              <w:fldChar w:fldCharType="separate"/>
            </w:r>
            <w:r w:rsidR="00724FEA" w:rsidRPr="00724FEA">
              <w:rPr>
                <w:rFonts w:ascii="Arial" w:hAnsi="Arial" w:cs="Arial"/>
                <w:b/>
                <w:bCs/>
                <w:noProof/>
              </w:rPr>
              <w:t>2</w:t>
            </w:r>
            <w:r w:rsidR="00724FEA" w:rsidRPr="00724FEA">
              <w:rPr>
                <w:rFonts w:ascii="Arial" w:hAnsi="Arial" w:cs="Arial"/>
                <w:b/>
                <w:bCs/>
                <w:sz w:val="24"/>
                <w:szCs w:val="24"/>
              </w:rPr>
              <w:fldChar w:fldCharType="end"/>
            </w:r>
            <w:r w:rsidR="00724FEA" w:rsidRPr="00724FEA">
              <w:rPr>
                <w:rFonts w:ascii="Arial" w:hAnsi="Arial" w:cs="Arial"/>
              </w:rPr>
              <w:t xml:space="preserve"> of </w:t>
            </w:r>
            <w:r w:rsidR="00724FEA" w:rsidRPr="00724FEA">
              <w:rPr>
                <w:rFonts w:ascii="Arial" w:hAnsi="Arial" w:cs="Arial"/>
                <w:b/>
                <w:bCs/>
                <w:sz w:val="24"/>
                <w:szCs w:val="24"/>
              </w:rPr>
              <w:fldChar w:fldCharType="begin"/>
            </w:r>
            <w:r w:rsidR="00724FEA" w:rsidRPr="00724FEA">
              <w:rPr>
                <w:rFonts w:ascii="Arial" w:hAnsi="Arial" w:cs="Arial"/>
                <w:b/>
                <w:bCs/>
              </w:rPr>
              <w:instrText xml:space="preserve"> NUMPAGES  </w:instrText>
            </w:r>
            <w:r w:rsidR="00724FEA" w:rsidRPr="00724FEA">
              <w:rPr>
                <w:rFonts w:ascii="Arial" w:hAnsi="Arial" w:cs="Arial"/>
                <w:b/>
                <w:bCs/>
                <w:sz w:val="24"/>
                <w:szCs w:val="24"/>
              </w:rPr>
              <w:fldChar w:fldCharType="separate"/>
            </w:r>
            <w:r w:rsidR="00724FEA" w:rsidRPr="00724FEA">
              <w:rPr>
                <w:rFonts w:ascii="Arial" w:hAnsi="Arial" w:cs="Arial"/>
                <w:b/>
                <w:bCs/>
                <w:noProof/>
              </w:rPr>
              <w:t>2</w:t>
            </w:r>
            <w:r w:rsidR="00724FEA" w:rsidRPr="00724FEA">
              <w:rPr>
                <w:rFonts w:ascii="Arial" w:hAnsi="Arial" w:cs="Arial"/>
                <w:b/>
                <w:bCs/>
                <w:sz w:val="24"/>
                <w:szCs w:val="24"/>
              </w:rPr>
              <w:fldChar w:fldCharType="end"/>
            </w:r>
          </w:sdtContent>
        </w:sdt>
      </w:sdtContent>
    </w:sdt>
  </w:p>
  <w:p w14:paraId="03E62548" w14:textId="75BA373B" w:rsidR="006231A0" w:rsidRPr="008956FC" w:rsidRDefault="006231A0"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04359" w14:textId="77777777" w:rsidR="006231A0" w:rsidRDefault="006231A0" w:rsidP="008956FC">
    <w:pPr>
      <w:tabs>
        <w:tab w:val="center" w:pos="4513"/>
        <w:tab w:val="right" w:pos="9026"/>
      </w:tabs>
      <w:spacing w:after="0" w:line="240" w:lineRule="auto"/>
      <w:jc w:val="both"/>
    </w:pPr>
  </w:p>
  <w:p w14:paraId="7E24825F" w14:textId="77777777"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Framework Ref: RM</w:t>
    </w:r>
    <w:r w:rsidRPr="008956FC">
      <w:rPr>
        <w:rFonts w:ascii="Arial" w:hAnsi="Arial"/>
        <w:color w:val="000000"/>
        <w:sz w:val="20"/>
      </w:rPr>
      <w:tab/>
      <w:t xml:space="preserve">                                           </w:t>
    </w:r>
  </w:p>
  <w:p w14:paraId="59AA7CEF" w14:textId="56F45648"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Project Version: v1.0</w:t>
    </w:r>
    <w:r w:rsidRPr="008956FC">
      <w:rPr>
        <w:rFonts w:ascii="Arial" w:hAnsi="Arial"/>
        <w:color w:val="000000"/>
        <w:sz w:val="20"/>
      </w:rPr>
      <w:tab/>
    </w:r>
    <w:r w:rsidRPr="008956FC">
      <w:rPr>
        <w:rFonts w:ascii="Arial" w:hAnsi="Arial"/>
        <w:color w:val="000000"/>
        <w:sz w:val="20"/>
      </w:rPr>
      <w:tab/>
    </w:r>
    <w:r w:rsidRPr="008956FC">
      <w:rPr>
        <w:rFonts w:ascii="Arial" w:hAnsi="Arial"/>
        <w:color w:val="000000"/>
        <w:sz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C87B191" w14:textId="769EFE9D" w:rsidR="006231A0" w:rsidRPr="008956FC" w:rsidRDefault="005D6FC8" w:rsidP="008956FC">
    <w:pPr>
      <w:pBdr>
        <w:top w:val="nil"/>
        <w:left w:val="nil"/>
        <w:bottom w:val="nil"/>
        <w:right w:val="nil"/>
        <w:between w:val="nil"/>
      </w:pBdr>
      <w:tabs>
        <w:tab w:val="center" w:pos="4513"/>
        <w:tab w:val="right" w:pos="9026"/>
      </w:tabs>
      <w:spacing w:after="0" w:line="240" w:lineRule="auto"/>
      <w:rPr>
        <w:color w:val="000000"/>
      </w:rPr>
    </w:pPr>
    <w:r w:rsidRPr="008956FC">
      <w:rPr>
        <w:rFonts w:ascii="Arial" w:hAnsi="Arial"/>
        <w:color w:val="000000"/>
        <w:sz w:val="20"/>
      </w:rPr>
      <w:t>Model Version: v2.9</w:t>
    </w:r>
    <w:r w:rsidRPr="008956FC">
      <w:rPr>
        <w:rFonts w:ascii="Arial" w:hAnsi="Arial"/>
        <w:color w:val="000000"/>
        <w:sz w:val="20"/>
      </w:rPr>
      <w:tab/>
    </w:r>
    <w:r w:rsidRPr="008956FC">
      <w:rPr>
        <w:rFonts w:ascii="Arial" w:hAnsi="Arial"/>
        <w:color w:val="00000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C6224" w14:textId="77777777" w:rsidR="004B3495" w:rsidRDefault="004B3495">
      <w:pPr>
        <w:spacing w:after="0" w:line="240" w:lineRule="auto"/>
      </w:pPr>
      <w:r>
        <w:separator/>
      </w:r>
    </w:p>
  </w:footnote>
  <w:footnote w:type="continuationSeparator" w:id="0">
    <w:p w14:paraId="6ED97D1C" w14:textId="77777777" w:rsidR="004B3495" w:rsidRDefault="004B3495">
      <w:pPr>
        <w:spacing w:after="0" w:line="240" w:lineRule="auto"/>
      </w:pPr>
      <w:r>
        <w:continuationSeparator/>
      </w:r>
    </w:p>
  </w:footnote>
  <w:footnote w:type="continuationNotice" w:id="1">
    <w:p w14:paraId="57462C7D" w14:textId="77777777" w:rsidR="004B3495" w:rsidRDefault="004B34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300C"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0662D" w14:textId="7C7812A4" w:rsidR="006231A0" w:rsidRPr="00724FEA" w:rsidRDefault="00724FEA" w:rsidP="00724FEA">
    <w:pPr>
      <w:pBdr>
        <w:top w:val="nil"/>
        <w:left w:val="nil"/>
        <w:bottom w:val="nil"/>
        <w:right w:val="nil"/>
        <w:between w:val="nil"/>
      </w:pBdr>
      <w:tabs>
        <w:tab w:val="center" w:pos="4513"/>
        <w:tab w:val="right" w:pos="9026"/>
      </w:tabs>
      <w:spacing w:after="0" w:line="240" w:lineRule="auto"/>
      <w:jc w:val="center"/>
      <w:rPr>
        <w:b/>
        <w:color w:val="000000"/>
      </w:rPr>
    </w:pPr>
    <w:r>
      <w:rPr>
        <w:b/>
        <w:color w:val="000000"/>
      </w:rPr>
      <w:t>OFFICIAL SENSIT</w:t>
    </w:r>
    <w:r w:rsidR="005A4A14">
      <w:rPr>
        <w:b/>
        <w:color w:val="000000"/>
      </w:rPr>
      <w:t>I</w:t>
    </w:r>
    <w:r>
      <w:rPr>
        <w:b/>
        <w:color w:val="000000"/>
      </w:rPr>
      <w:t>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B6F6F"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B424C96"/>
    <w:multiLevelType w:val="multilevel"/>
    <w:tmpl w:val="AF749ED4"/>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D5D7FEE"/>
    <w:multiLevelType w:val="multilevel"/>
    <w:tmpl w:val="4804370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972688C"/>
    <w:multiLevelType w:val="multilevel"/>
    <w:tmpl w:val="20A6C9E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E9C6B0A"/>
    <w:multiLevelType w:val="multilevel"/>
    <w:tmpl w:val="67BAD2B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5DBF4362"/>
    <w:multiLevelType w:val="multilevel"/>
    <w:tmpl w:val="894C97D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2"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2936E4"/>
    <w:multiLevelType w:val="multilevel"/>
    <w:tmpl w:val="E58836E0"/>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3"/>
  </w:num>
  <w:num w:numId="3">
    <w:abstractNumId w:val="8"/>
  </w:num>
  <w:num w:numId="4">
    <w:abstractNumId w:val="7"/>
  </w:num>
  <w:num w:numId="5">
    <w:abstractNumId w:val="4"/>
  </w:num>
  <w:num w:numId="6">
    <w:abstractNumId w:val="1"/>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
  </w:num>
  <w:num w:numId="17">
    <w:abstractNumId w:val="12"/>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1A0"/>
    <w:rsid w:val="00000CA5"/>
    <w:rsid w:val="00033324"/>
    <w:rsid w:val="00057822"/>
    <w:rsid w:val="000654EE"/>
    <w:rsid w:val="000753B6"/>
    <w:rsid w:val="00091B0C"/>
    <w:rsid w:val="000E6EDE"/>
    <w:rsid w:val="00150563"/>
    <w:rsid w:val="00297642"/>
    <w:rsid w:val="002D3D7F"/>
    <w:rsid w:val="00352497"/>
    <w:rsid w:val="003865D1"/>
    <w:rsid w:val="003B6F72"/>
    <w:rsid w:val="003D59D3"/>
    <w:rsid w:val="003D7FE9"/>
    <w:rsid w:val="003E13B8"/>
    <w:rsid w:val="0043504D"/>
    <w:rsid w:val="004B3495"/>
    <w:rsid w:val="005015A2"/>
    <w:rsid w:val="00513AA2"/>
    <w:rsid w:val="00581ED1"/>
    <w:rsid w:val="005A4A14"/>
    <w:rsid w:val="005D1C56"/>
    <w:rsid w:val="005D6876"/>
    <w:rsid w:val="005D6FC8"/>
    <w:rsid w:val="006231A0"/>
    <w:rsid w:val="006851D5"/>
    <w:rsid w:val="006A11C8"/>
    <w:rsid w:val="006A71C1"/>
    <w:rsid w:val="006D74B7"/>
    <w:rsid w:val="006F25A9"/>
    <w:rsid w:val="00724FEA"/>
    <w:rsid w:val="0079190E"/>
    <w:rsid w:val="008956FC"/>
    <w:rsid w:val="008D46CB"/>
    <w:rsid w:val="009116B0"/>
    <w:rsid w:val="00926C5A"/>
    <w:rsid w:val="0096166C"/>
    <w:rsid w:val="009674CA"/>
    <w:rsid w:val="009E7AF0"/>
    <w:rsid w:val="00A10500"/>
    <w:rsid w:val="00A21FE8"/>
    <w:rsid w:val="00AC7947"/>
    <w:rsid w:val="00AE6686"/>
    <w:rsid w:val="00AF2064"/>
    <w:rsid w:val="00AF691E"/>
    <w:rsid w:val="00B407F5"/>
    <w:rsid w:val="00B415E4"/>
    <w:rsid w:val="00B82633"/>
    <w:rsid w:val="00BC7C20"/>
    <w:rsid w:val="00BE59AA"/>
    <w:rsid w:val="00C20902"/>
    <w:rsid w:val="00C42F87"/>
    <w:rsid w:val="00C76B47"/>
    <w:rsid w:val="00C817B2"/>
    <w:rsid w:val="00CB25C8"/>
    <w:rsid w:val="00CB349E"/>
    <w:rsid w:val="00D6117F"/>
    <w:rsid w:val="00DA53D7"/>
    <w:rsid w:val="00E00540"/>
    <w:rsid w:val="00E420BC"/>
    <w:rsid w:val="00E943A7"/>
    <w:rsid w:val="00E96923"/>
    <w:rsid w:val="00EB4ADD"/>
    <w:rsid w:val="00EE7731"/>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437A"/>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53B6"/>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0753B6"/>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753B6"/>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rsid w:val="000753B6"/>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eastAsia="STZhongsong"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rsid w:val="000753B6"/>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0753B6"/>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0753B6"/>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character" w:styleId="Hyperlink">
    <w:name w:val="Hyperlink"/>
    <w:uiPriority w:val="99"/>
    <w:rsid w:val="00AC7947"/>
    <w:rPr>
      <w:color w:val="0000FF"/>
      <w:u w:val="single"/>
    </w:rPr>
  </w:style>
  <w:style w:type="character" w:customStyle="1" w:styleId="ui-provider">
    <w:name w:val="ui-provider"/>
    <w:basedOn w:val="DefaultParagraphFont"/>
    <w:rsid w:val="00297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2wVR4C1zYZ5XJkoNEAvX09jEWg==">AMUW2mU1ghfyZdICeAaJwywjrCpkPYE0hrE88EAtFgdFFGTZ4tcXfHQD9vSrPvMhMgnrdjySYVgr6wKYZJPLvYGsD8IqquHa0ux6Iy3WXFxdJxJU1/UxQR3Jnd/RNG6bF9DPDTBr4yxAurrGqssb4VopHYlTfwcE321P+MeiWEtZzg6DcZfrsxQcD5h79R5oOs8LnZgY6BEOn5UoFLSbj3ghAVzXwXhw8izh2206x7XX8yAdpmSuVj+TrHriZ+2z+H7VPlrpSqquBUBJ3ZX6E1o4/sTPChUBG61tiITYZAOtLhFxyHyD5OTOEoSMNnrz5oYQuZfm7IoSrLFczA2F/wU7cNHSeEf2PicHQqX4jeNsJXkOylS28tKpwoUpPGLji6ctIbvzdXEJdX2e663hhdpVjgjLe+a+p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53E8D1-C882-4EA6-919C-8D55CA9C1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2143</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Christine Connolly</cp:lastModifiedBy>
  <cp:revision>4</cp:revision>
  <dcterms:created xsi:type="dcterms:W3CDTF">2023-07-19T13:59:00Z</dcterms:created>
  <dcterms:modified xsi:type="dcterms:W3CDTF">2024-03-13T16:39:00Z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